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326" w:rsidRPr="00182728" w:rsidRDefault="00182728" w:rsidP="00182728">
      <w:pPr>
        <w:spacing w:line="360" w:lineRule="auto"/>
        <w:jc w:val="both"/>
        <w:rPr>
          <w:rFonts w:ascii="Arial Narrow" w:hAnsi="Arial Narrow"/>
          <w:b/>
          <w:sz w:val="24"/>
        </w:rPr>
      </w:pPr>
      <w:r w:rsidRPr="00182728">
        <w:rPr>
          <w:rFonts w:ascii="Arial Narrow" w:hAnsi="Arial Narrow"/>
          <w:b/>
          <w:sz w:val="24"/>
        </w:rPr>
        <w:t>Resumen ley de renta</w:t>
      </w:r>
    </w:p>
    <w:p w:rsidR="00182728" w:rsidRDefault="00182728" w:rsidP="00182728">
      <w:pPr>
        <w:spacing w:line="360" w:lineRule="auto"/>
        <w:jc w:val="both"/>
        <w:rPr>
          <w:rFonts w:ascii="Arial Narrow" w:hAnsi="Arial Narrow"/>
          <w:sz w:val="24"/>
        </w:rPr>
      </w:pPr>
      <w:r>
        <w:rPr>
          <w:rFonts w:ascii="Arial Narrow" w:hAnsi="Arial Narrow"/>
          <w:sz w:val="24"/>
        </w:rPr>
        <w:t>La ley inicia indicando que debe entenderse por hecho generador del Impuesto sobre renta, y son aquellos actos realizados por las personas obligadas a pagar impuesto o sujetos pasivos, que están regulados por dicha ley y en caso de obtener ingresos por alguna de esas actividades deberá enterar y pagar el impuesto.</w:t>
      </w:r>
    </w:p>
    <w:p w:rsidR="00182728" w:rsidRDefault="00182728" w:rsidP="00182728">
      <w:pPr>
        <w:spacing w:line="360" w:lineRule="auto"/>
        <w:jc w:val="both"/>
        <w:rPr>
          <w:rFonts w:ascii="Arial Narrow" w:hAnsi="Arial Narrow"/>
          <w:sz w:val="24"/>
        </w:rPr>
      </w:pPr>
      <w:r>
        <w:rPr>
          <w:rFonts w:ascii="Arial Narrow" w:hAnsi="Arial Narrow"/>
          <w:sz w:val="24"/>
        </w:rPr>
        <w:t xml:space="preserve">Otro termino propio de esta ley son las “rentas” o ingresos recibidos por las personas por realizar determinadas actividades, una de ellas es la renta obtenida, que son  ingresos recibidos por el sujeto pasivo por sueldos, salarios, honorarios comisiones… Pero dentro de estos productos recibidos por el sujeto pasivo están excluidos algunos como por ejemplo, viáticos que reciba del patrono por realizar alguna tarea </w:t>
      </w:r>
      <w:proofErr w:type="spellStart"/>
      <w:r>
        <w:rPr>
          <w:rFonts w:ascii="Arial Narrow" w:hAnsi="Arial Narrow"/>
          <w:sz w:val="24"/>
        </w:rPr>
        <w:t>etc</w:t>
      </w:r>
      <w:proofErr w:type="spellEnd"/>
      <w:r>
        <w:rPr>
          <w:rFonts w:ascii="Arial Narrow" w:hAnsi="Arial Narrow"/>
          <w:sz w:val="24"/>
        </w:rPr>
        <w:t>, también se encuentra el término “no gravable” que son aquellos ingresos que la administración tributaria no considera como “renta” por ejemplo, dinero recibido por desempeñar funciones diplomáticas, agentes consulares y representantes del país en el extranjero, indemnizaciones por despido, entre otras.</w:t>
      </w:r>
    </w:p>
    <w:p w:rsidR="00182728" w:rsidRDefault="00182728" w:rsidP="00182728">
      <w:pPr>
        <w:spacing w:line="360" w:lineRule="auto"/>
        <w:jc w:val="both"/>
        <w:rPr>
          <w:rFonts w:ascii="Arial Narrow" w:hAnsi="Arial Narrow"/>
          <w:sz w:val="24"/>
        </w:rPr>
      </w:pPr>
      <w:r>
        <w:rPr>
          <w:rFonts w:ascii="Arial Narrow" w:hAnsi="Arial Narrow"/>
          <w:sz w:val="24"/>
        </w:rPr>
        <w:t>Los sujetos pasivos y obligados a pagar tributos son:</w:t>
      </w:r>
    </w:p>
    <w:p w:rsidR="00182728" w:rsidRDefault="00182728" w:rsidP="00182728">
      <w:pPr>
        <w:pStyle w:val="Prrafodelista"/>
        <w:numPr>
          <w:ilvl w:val="0"/>
          <w:numId w:val="1"/>
        </w:numPr>
        <w:spacing w:line="360" w:lineRule="auto"/>
        <w:jc w:val="both"/>
        <w:rPr>
          <w:rFonts w:ascii="Arial Narrow" w:hAnsi="Arial Narrow"/>
          <w:sz w:val="24"/>
        </w:rPr>
      </w:pPr>
      <w:r>
        <w:rPr>
          <w:rFonts w:ascii="Arial Narrow" w:hAnsi="Arial Narrow"/>
          <w:sz w:val="24"/>
        </w:rPr>
        <w:t>Personas naturales o jurídicas ya sea domiciliadas o no.</w:t>
      </w:r>
    </w:p>
    <w:p w:rsidR="00182728" w:rsidRDefault="00182728" w:rsidP="00182728">
      <w:pPr>
        <w:pStyle w:val="Prrafodelista"/>
        <w:numPr>
          <w:ilvl w:val="0"/>
          <w:numId w:val="1"/>
        </w:numPr>
        <w:spacing w:line="360" w:lineRule="auto"/>
        <w:jc w:val="both"/>
        <w:rPr>
          <w:rFonts w:ascii="Arial Narrow" w:hAnsi="Arial Narrow"/>
          <w:sz w:val="24"/>
        </w:rPr>
      </w:pPr>
      <w:r>
        <w:rPr>
          <w:rFonts w:ascii="Arial Narrow" w:hAnsi="Arial Narrow"/>
          <w:sz w:val="24"/>
        </w:rPr>
        <w:t>Sucesiones y fideicomisos, domiciliados o no.</w:t>
      </w:r>
    </w:p>
    <w:p w:rsidR="00182728" w:rsidRDefault="00182728" w:rsidP="00182728">
      <w:pPr>
        <w:pStyle w:val="Prrafodelista"/>
        <w:numPr>
          <w:ilvl w:val="0"/>
          <w:numId w:val="1"/>
        </w:numPr>
        <w:spacing w:line="360" w:lineRule="auto"/>
        <w:jc w:val="both"/>
        <w:rPr>
          <w:rFonts w:ascii="Arial Narrow" w:hAnsi="Arial Narrow"/>
          <w:sz w:val="24"/>
        </w:rPr>
      </w:pPr>
      <w:r>
        <w:rPr>
          <w:rFonts w:ascii="Arial Narrow" w:hAnsi="Arial Narrow"/>
          <w:sz w:val="24"/>
        </w:rPr>
        <w:t>Artistas o deportistas domiciliados o no que se presenten en el país.</w:t>
      </w:r>
    </w:p>
    <w:p w:rsidR="00182728" w:rsidRDefault="00182728" w:rsidP="00182728">
      <w:pPr>
        <w:pStyle w:val="Prrafodelista"/>
        <w:numPr>
          <w:ilvl w:val="0"/>
          <w:numId w:val="1"/>
        </w:numPr>
        <w:spacing w:line="360" w:lineRule="auto"/>
        <w:jc w:val="both"/>
        <w:rPr>
          <w:rFonts w:ascii="Arial Narrow" w:hAnsi="Arial Narrow"/>
          <w:sz w:val="24"/>
        </w:rPr>
      </w:pPr>
      <w:r>
        <w:rPr>
          <w:rFonts w:ascii="Arial Narrow" w:hAnsi="Arial Narrow"/>
          <w:sz w:val="24"/>
        </w:rPr>
        <w:t>Sociedades irregulares, de hechos y uniones de personas.</w:t>
      </w:r>
    </w:p>
    <w:p w:rsidR="00182728" w:rsidRDefault="00182728" w:rsidP="00182728">
      <w:pPr>
        <w:spacing w:line="360" w:lineRule="auto"/>
        <w:jc w:val="both"/>
        <w:rPr>
          <w:rFonts w:ascii="Arial Narrow" w:hAnsi="Arial Narrow"/>
          <w:sz w:val="24"/>
        </w:rPr>
      </w:pPr>
      <w:r>
        <w:rPr>
          <w:rFonts w:ascii="Arial Narrow" w:hAnsi="Arial Narrow"/>
          <w:sz w:val="24"/>
        </w:rPr>
        <w:t xml:space="preserve"> Y los que no son sujetos pasivos son:</w:t>
      </w:r>
    </w:p>
    <w:p w:rsidR="00182728" w:rsidRDefault="00182728" w:rsidP="00182728">
      <w:pPr>
        <w:pStyle w:val="Prrafodelista"/>
        <w:numPr>
          <w:ilvl w:val="0"/>
          <w:numId w:val="2"/>
        </w:numPr>
        <w:spacing w:line="360" w:lineRule="auto"/>
        <w:jc w:val="both"/>
        <w:rPr>
          <w:rFonts w:ascii="Arial Narrow" w:hAnsi="Arial Narrow"/>
          <w:sz w:val="24"/>
        </w:rPr>
      </w:pPr>
      <w:r>
        <w:rPr>
          <w:rFonts w:ascii="Arial Narrow" w:hAnsi="Arial Narrow"/>
          <w:sz w:val="24"/>
        </w:rPr>
        <w:t>El Estado de El Salvador</w:t>
      </w:r>
    </w:p>
    <w:p w:rsidR="00182728" w:rsidRDefault="00182728" w:rsidP="00182728">
      <w:pPr>
        <w:pStyle w:val="Prrafodelista"/>
        <w:numPr>
          <w:ilvl w:val="0"/>
          <w:numId w:val="2"/>
        </w:numPr>
        <w:spacing w:line="360" w:lineRule="auto"/>
        <w:jc w:val="both"/>
        <w:rPr>
          <w:rFonts w:ascii="Arial Narrow" w:hAnsi="Arial Narrow"/>
          <w:sz w:val="24"/>
        </w:rPr>
      </w:pPr>
      <w:r>
        <w:rPr>
          <w:rFonts w:ascii="Arial Narrow" w:hAnsi="Arial Narrow"/>
          <w:sz w:val="24"/>
        </w:rPr>
        <w:t>Las municipalidades,</w:t>
      </w:r>
    </w:p>
    <w:p w:rsidR="00182728" w:rsidRDefault="00182728" w:rsidP="00182728">
      <w:pPr>
        <w:pStyle w:val="Prrafodelista"/>
        <w:numPr>
          <w:ilvl w:val="0"/>
          <w:numId w:val="2"/>
        </w:numPr>
        <w:spacing w:line="360" w:lineRule="auto"/>
        <w:jc w:val="both"/>
        <w:rPr>
          <w:rFonts w:ascii="Arial Narrow" w:hAnsi="Arial Narrow"/>
          <w:sz w:val="24"/>
        </w:rPr>
      </w:pPr>
      <w:r>
        <w:rPr>
          <w:rFonts w:ascii="Arial Narrow" w:hAnsi="Arial Narrow"/>
          <w:sz w:val="24"/>
        </w:rPr>
        <w:t>Fundaciones y corporaciones de derecho público.</w:t>
      </w:r>
    </w:p>
    <w:p w:rsidR="00182728" w:rsidRDefault="00182728" w:rsidP="00182728">
      <w:pPr>
        <w:spacing w:line="360" w:lineRule="auto"/>
        <w:jc w:val="both"/>
        <w:rPr>
          <w:rFonts w:ascii="Arial Narrow" w:hAnsi="Arial Narrow"/>
          <w:sz w:val="24"/>
        </w:rPr>
      </w:pPr>
      <w:r>
        <w:rPr>
          <w:rFonts w:ascii="Arial Narrow" w:hAnsi="Arial Narrow"/>
          <w:sz w:val="24"/>
        </w:rPr>
        <w:t>Los antes mencionados están eximidos del pago del impuesto sobre renta.</w:t>
      </w:r>
    </w:p>
    <w:p w:rsidR="00182728" w:rsidRDefault="00182728" w:rsidP="00182728">
      <w:pPr>
        <w:spacing w:line="360" w:lineRule="auto"/>
        <w:jc w:val="both"/>
        <w:rPr>
          <w:rFonts w:ascii="Arial Narrow" w:hAnsi="Arial Narrow"/>
          <w:sz w:val="24"/>
        </w:rPr>
      </w:pPr>
      <w:r>
        <w:rPr>
          <w:rFonts w:ascii="Arial Narrow" w:hAnsi="Arial Narrow"/>
          <w:sz w:val="24"/>
        </w:rPr>
        <w:t>Para determinar la renta obtenida o valor sobre el cual se deberá pagar el impuesto sobre la renta, deberá sumarse todos los “productos” o ingresos recibidos por la persona natural o jurídica que es hecho generador, la suma de todas esas “rentas gravadas” será la base imponible.</w:t>
      </w:r>
    </w:p>
    <w:p w:rsidR="00182728" w:rsidRDefault="00182728" w:rsidP="00182728">
      <w:pPr>
        <w:spacing w:line="360" w:lineRule="auto"/>
        <w:jc w:val="both"/>
        <w:rPr>
          <w:rFonts w:ascii="Arial Narrow" w:hAnsi="Arial Narrow"/>
          <w:sz w:val="24"/>
        </w:rPr>
      </w:pPr>
      <w:r>
        <w:rPr>
          <w:rFonts w:ascii="Arial Narrow" w:hAnsi="Arial Narrow"/>
          <w:sz w:val="24"/>
        </w:rPr>
        <w:t>El periodo de imposición será de 12 meses, del primero de enero al 31 de diciembre de cada año.</w:t>
      </w:r>
    </w:p>
    <w:p w:rsidR="00182728" w:rsidRDefault="00182728" w:rsidP="00182728">
      <w:pPr>
        <w:spacing w:line="360" w:lineRule="auto"/>
        <w:jc w:val="both"/>
        <w:rPr>
          <w:rFonts w:ascii="Arial Narrow" w:hAnsi="Arial Narrow"/>
          <w:sz w:val="24"/>
        </w:rPr>
      </w:pPr>
      <w:r>
        <w:rPr>
          <w:rFonts w:ascii="Arial Narrow" w:hAnsi="Arial Narrow"/>
          <w:sz w:val="24"/>
        </w:rPr>
        <w:lastRenderedPageBreak/>
        <w:t>Las personas jurídicas computaran su renta por medio del método de interés efectivo tomando en cuenta utilidades devengadas en el periodo.</w:t>
      </w:r>
    </w:p>
    <w:p w:rsidR="00051B9A" w:rsidRDefault="00051B9A" w:rsidP="00182728">
      <w:pPr>
        <w:spacing w:line="360" w:lineRule="auto"/>
        <w:jc w:val="both"/>
        <w:rPr>
          <w:rFonts w:ascii="Arial Narrow" w:hAnsi="Arial Narrow"/>
          <w:sz w:val="24"/>
        </w:rPr>
      </w:pPr>
      <w:r>
        <w:rPr>
          <w:rFonts w:ascii="Arial Narrow" w:hAnsi="Arial Narrow"/>
          <w:sz w:val="24"/>
        </w:rPr>
        <w:t>Otro termino muy propio de la ley es el término “deducible” o gastos que permite la administración aduanera restar de la renta obtenida cuando estos gastos sean necesarios para mantener Lafuente generadora de rentas, estos los menciona el artículo 29, por ejemplo para el caso de las personas naturales, gastos por medicina y por colegiatura, o en el caso que utilicen su vehículo para trabajar, permite deducirse el 50% de la depreciación y el 50% del combustible comprado, siempre y cuando el patrono no les de dinero para comprarla. En el caso de las personas jurídicas ejemplos de gastos deducibles son, sueldos, salarios, pago de comisiones, depreciaciones de propiedades planta y equipo</w:t>
      </w:r>
      <w:proofErr w:type="gramStart"/>
      <w:r>
        <w:rPr>
          <w:rFonts w:ascii="Arial Narrow" w:hAnsi="Arial Narrow"/>
          <w:sz w:val="24"/>
        </w:rPr>
        <w:t>..</w:t>
      </w:r>
      <w:proofErr w:type="spellStart"/>
      <w:proofErr w:type="gramEnd"/>
      <w:r>
        <w:rPr>
          <w:rFonts w:ascii="Arial Narrow" w:hAnsi="Arial Narrow"/>
          <w:sz w:val="24"/>
        </w:rPr>
        <w:t>etc</w:t>
      </w:r>
      <w:proofErr w:type="spellEnd"/>
      <w:r>
        <w:rPr>
          <w:rFonts w:ascii="Arial Narrow" w:hAnsi="Arial Narrow"/>
          <w:sz w:val="24"/>
        </w:rPr>
        <w:t>.</w:t>
      </w:r>
    </w:p>
    <w:p w:rsidR="00182728" w:rsidRDefault="00051B9A" w:rsidP="00182728">
      <w:pPr>
        <w:spacing w:line="360" w:lineRule="auto"/>
        <w:jc w:val="both"/>
        <w:rPr>
          <w:rFonts w:ascii="Arial Narrow" w:hAnsi="Arial Narrow"/>
          <w:sz w:val="24"/>
        </w:rPr>
      </w:pPr>
      <w:proofErr w:type="gramStart"/>
      <w:r>
        <w:rPr>
          <w:rFonts w:ascii="Arial Narrow" w:hAnsi="Arial Narrow"/>
          <w:sz w:val="24"/>
        </w:rPr>
        <w:t>el</w:t>
      </w:r>
      <w:proofErr w:type="gramEnd"/>
      <w:r>
        <w:rPr>
          <w:rFonts w:ascii="Arial Narrow" w:hAnsi="Arial Narrow"/>
          <w:sz w:val="24"/>
        </w:rPr>
        <w:t xml:space="preserve"> 29-A menciona los gastos no deducibles, que si bien son erogaciones de dinero realizadas con el sujeto pasivo estas no se pueden restar de la renta obtenida, como por ejemplo, los gastos personales de los accionistas o ejecutivos de la empresa</w:t>
      </w:r>
    </w:p>
    <w:p w:rsidR="00051B9A" w:rsidRDefault="00051B9A" w:rsidP="00BB7D02">
      <w:pPr>
        <w:spacing w:line="360" w:lineRule="auto"/>
        <w:jc w:val="both"/>
        <w:rPr>
          <w:rFonts w:ascii="Arial Narrow" w:hAnsi="Arial Narrow"/>
          <w:sz w:val="24"/>
        </w:rPr>
      </w:pPr>
      <w:r>
        <w:rPr>
          <w:rFonts w:ascii="Arial Narrow" w:hAnsi="Arial Narrow"/>
          <w:sz w:val="24"/>
        </w:rPr>
        <w:t xml:space="preserve">El art 30 establece los porcentajes máximos que puede deducirse anualmente el sujeto pasivo en concepto de depreciación de propiedad planta y equipo, </w:t>
      </w:r>
    </w:p>
    <w:p w:rsidR="00BB7D02" w:rsidRDefault="00BB7D02" w:rsidP="00051B9A">
      <w:pPr>
        <w:pStyle w:val="Prrafodelista"/>
        <w:numPr>
          <w:ilvl w:val="0"/>
          <w:numId w:val="2"/>
        </w:numPr>
        <w:spacing w:line="360" w:lineRule="auto"/>
        <w:jc w:val="both"/>
        <w:rPr>
          <w:rFonts w:ascii="Arial Narrow" w:hAnsi="Arial Narrow"/>
          <w:sz w:val="24"/>
        </w:rPr>
      </w:pPr>
      <w:r>
        <w:rPr>
          <w:rFonts w:ascii="Arial Narrow" w:hAnsi="Arial Narrow"/>
          <w:sz w:val="24"/>
        </w:rPr>
        <w:t>Edificaciones:  5% anual</w:t>
      </w:r>
    </w:p>
    <w:p w:rsidR="00051B9A" w:rsidRDefault="00051B9A" w:rsidP="00051B9A">
      <w:pPr>
        <w:pStyle w:val="Prrafodelista"/>
        <w:numPr>
          <w:ilvl w:val="0"/>
          <w:numId w:val="2"/>
        </w:numPr>
        <w:spacing w:line="360" w:lineRule="auto"/>
        <w:jc w:val="both"/>
        <w:rPr>
          <w:rFonts w:ascii="Arial Narrow" w:hAnsi="Arial Narrow"/>
          <w:sz w:val="24"/>
        </w:rPr>
      </w:pPr>
      <w:r>
        <w:rPr>
          <w:rFonts w:ascii="Arial Narrow" w:hAnsi="Arial Narrow"/>
          <w:sz w:val="24"/>
        </w:rPr>
        <w:t xml:space="preserve">Maquinaria: </w:t>
      </w:r>
      <w:r>
        <w:rPr>
          <w:rFonts w:ascii="Arial Narrow" w:hAnsi="Arial Narrow"/>
          <w:sz w:val="24"/>
        </w:rPr>
        <w:tab/>
        <w:t>20% anual</w:t>
      </w:r>
    </w:p>
    <w:p w:rsidR="00051B9A" w:rsidRDefault="00051B9A" w:rsidP="00051B9A">
      <w:pPr>
        <w:pStyle w:val="Prrafodelista"/>
        <w:numPr>
          <w:ilvl w:val="0"/>
          <w:numId w:val="2"/>
        </w:numPr>
        <w:spacing w:line="360" w:lineRule="auto"/>
        <w:jc w:val="both"/>
        <w:rPr>
          <w:rFonts w:ascii="Arial Narrow" w:hAnsi="Arial Narrow"/>
          <w:sz w:val="24"/>
        </w:rPr>
      </w:pPr>
      <w:r>
        <w:rPr>
          <w:rFonts w:ascii="Arial Narrow" w:hAnsi="Arial Narrow"/>
          <w:sz w:val="24"/>
        </w:rPr>
        <w:t>Vehículos:</w:t>
      </w:r>
      <w:r>
        <w:rPr>
          <w:rFonts w:ascii="Arial Narrow" w:hAnsi="Arial Narrow"/>
          <w:sz w:val="24"/>
        </w:rPr>
        <w:tab/>
        <w:t>25% anual</w:t>
      </w:r>
    </w:p>
    <w:p w:rsidR="00051B9A" w:rsidRDefault="00051B9A" w:rsidP="00051B9A">
      <w:pPr>
        <w:pStyle w:val="Prrafodelista"/>
        <w:numPr>
          <w:ilvl w:val="0"/>
          <w:numId w:val="2"/>
        </w:numPr>
        <w:spacing w:line="360" w:lineRule="auto"/>
        <w:jc w:val="both"/>
        <w:rPr>
          <w:rFonts w:ascii="Arial Narrow" w:hAnsi="Arial Narrow"/>
          <w:sz w:val="24"/>
        </w:rPr>
      </w:pPr>
      <w:r>
        <w:rPr>
          <w:rFonts w:ascii="Arial Narrow" w:hAnsi="Arial Narrow"/>
          <w:sz w:val="24"/>
        </w:rPr>
        <w:t>Otros muebles:</w:t>
      </w:r>
      <w:r>
        <w:rPr>
          <w:rFonts w:ascii="Arial Narrow" w:hAnsi="Arial Narrow"/>
          <w:sz w:val="24"/>
        </w:rPr>
        <w:tab/>
        <w:t>50% anual</w:t>
      </w:r>
    </w:p>
    <w:p w:rsidR="00BB7D02" w:rsidRPr="00BB7D02" w:rsidRDefault="00BB7D02" w:rsidP="00BB7D02">
      <w:pPr>
        <w:spacing w:line="360" w:lineRule="auto"/>
        <w:jc w:val="both"/>
        <w:rPr>
          <w:rFonts w:ascii="Arial Narrow" w:hAnsi="Arial Narrow"/>
          <w:sz w:val="24"/>
        </w:rPr>
      </w:pPr>
      <w:r>
        <w:rPr>
          <w:rFonts w:ascii="Arial Narrow" w:hAnsi="Arial Narrow"/>
          <w:sz w:val="24"/>
        </w:rPr>
        <w:t>Para el caso de los activos intangibles se establece un porcentaje del 25% anual.</w:t>
      </w:r>
    </w:p>
    <w:p w:rsidR="00051B9A" w:rsidRDefault="00051B9A" w:rsidP="00051B9A">
      <w:pPr>
        <w:spacing w:line="360" w:lineRule="auto"/>
        <w:ind w:left="360"/>
        <w:jc w:val="both"/>
        <w:rPr>
          <w:rFonts w:ascii="Arial Narrow" w:hAnsi="Arial Narrow"/>
          <w:sz w:val="24"/>
        </w:rPr>
      </w:pPr>
      <w:r>
        <w:rPr>
          <w:rFonts w:ascii="Arial Narrow" w:hAnsi="Arial Narrow"/>
          <w:sz w:val="24"/>
        </w:rPr>
        <w:t>En el periodo si el sujeto decide puede deducirse menos de esos porcentajes pero no más</w:t>
      </w:r>
    </w:p>
    <w:p w:rsidR="00051B9A" w:rsidRDefault="00051B9A" w:rsidP="00051B9A">
      <w:pPr>
        <w:spacing w:line="360" w:lineRule="auto"/>
        <w:ind w:left="360"/>
        <w:jc w:val="both"/>
        <w:rPr>
          <w:rFonts w:ascii="Arial Narrow" w:hAnsi="Arial Narrow"/>
          <w:sz w:val="24"/>
        </w:rPr>
      </w:pPr>
      <w:r>
        <w:rPr>
          <w:rFonts w:ascii="Arial Narrow" w:hAnsi="Arial Narrow"/>
          <w:sz w:val="24"/>
        </w:rPr>
        <w:t xml:space="preserve">Si la propiedad </w:t>
      </w:r>
      <w:r w:rsidR="00BB7D02">
        <w:rPr>
          <w:rFonts w:ascii="Arial Narrow" w:hAnsi="Arial Narrow"/>
          <w:sz w:val="24"/>
        </w:rPr>
        <w:t>o el software se compran usados</w:t>
      </w:r>
      <w:r>
        <w:rPr>
          <w:rFonts w:ascii="Arial Narrow" w:hAnsi="Arial Narrow"/>
          <w:sz w:val="24"/>
        </w:rPr>
        <w:t xml:space="preserve"> el porcentaje a deducirse del costo </w:t>
      </w:r>
      <w:r w:rsidR="00DB57EB">
        <w:rPr>
          <w:rFonts w:ascii="Arial Narrow" w:hAnsi="Arial Narrow"/>
          <w:sz w:val="24"/>
        </w:rPr>
        <w:t>será</w:t>
      </w:r>
      <w:r>
        <w:rPr>
          <w:rFonts w:ascii="Arial Narrow" w:hAnsi="Arial Narrow"/>
          <w:sz w:val="24"/>
        </w:rPr>
        <w:t xml:space="preserve"> de acuerdo a los años de </w:t>
      </w:r>
      <w:r w:rsidR="00DB57EB">
        <w:rPr>
          <w:rFonts w:ascii="Arial Narrow" w:hAnsi="Arial Narrow"/>
          <w:sz w:val="24"/>
        </w:rPr>
        <w:t>la siguiente manera:</w:t>
      </w:r>
    </w:p>
    <w:p w:rsidR="00DB57EB" w:rsidRDefault="00DB57EB" w:rsidP="00DB57EB">
      <w:pPr>
        <w:pStyle w:val="Prrafodelista"/>
        <w:numPr>
          <w:ilvl w:val="0"/>
          <w:numId w:val="2"/>
        </w:numPr>
        <w:spacing w:line="360" w:lineRule="auto"/>
        <w:jc w:val="both"/>
        <w:rPr>
          <w:rFonts w:ascii="Arial Narrow" w:hAnsi="Arial Narrow"/>
          <w:sz w:val="24"/>
        </w:rPr>
      </w:pPr>
      <w:r>
        <w:rPr>
          <w:rFonts w:ascii="Arial Narrow" w:hAnsi="Arial Narrow"/>
          <w:sz w:val="24"/>
        </w:rPr>
        <w:t>1 año:</w:t>
      </w:r>
      <w:r>
        <w:rPr>
          <w:rFonts w:ascii="Arial Narrow" w:hAnsi="Arial Narrow"/>
          <w:sz w:val="24"/>
        </w:rPr>
        <w:tab/>
        <w:t>80%</w:t>
      </w:r>
    </w:p>
    <w:p w:rsidR="00DB57EB" w:rsidRDefault="00DB57EB" w:rsidP="00DB57EB">
      <w:pPr>
        <w:pStyle w:val="Prrafodelista"/>
        <w:numPr>
          <w:ilvl w:val="0"/>
          <w:numId w:val="2"/>
        </w:numPr>
        <w:spacing w:line="360" w:lineRule="auto"/>
        <w:jc w:val="both"/>
        <w:rPr>
          <w:rFonts w:ascii="Arial Narrow" w:hAnsi="Arial Narrow"/>
          <w:sz w:val="24"/>
        </w:rPr>
      </w:pPr>
      <w:r>
        <w:rPr>
          <w:rFonts w:ascii="Arial Narrow" w:hAnsi="Arial Narrow"/>
          <w:sz w:val="24"/>
        </w:rPr>
        <w:t>2 años:</w:t>
      </w:r>
      <w:r>
        <w:rPr>
          <w:rFonts w:ascii="Arial Narrow" w:hAnsi="Arial Narrow"/>
          <w:sz w:val="24"/>
        </w:rPr>
        <w:tab/>
        <w:t>60%</w:t>
      </w:r>
    </w:p>
    <w:p w:rsidR="00DB57EB" w:rsidRDefault="00DB57EB" w:rsidP="00DB57EB">
      <w:pPr>
        <w:pStyle w:val="Prrafodelista"/>
        <w:numPr>
          <w:ilvl w:val="0"/>
          <w:numId w:val="2"/>
        </w:numPr>
        <w:spacing w:line="360" w:lineRule="auto"/>
        <w:jc w:val="both"/>
        <w:rPr>
          <w:rFonts w:ascii="Arial Narrow" w:hAnsi="Arial Narrow"/>
          <w:sz w:val="24"/>
        </w:rPr>
      </w:pPr>
      <w:r>
        <w:rPr>
          <w:rFonts w:ascii="Arial Narrow" w:hAnsi="Arial Narrow"/>
          <w:sz w:val="24"/>
        </w:rPr>
        <w:t xml:space="preserve">3 años: 40% </w:t>
      </w:r>
    </w:p>
    <w:p w:rsidR="00DB57EB" w:rsidRDefault="00DB57EB" w:rsidP="00DB57EB">
      <w:pPr>
        <w:pStyle w:val="Prrafodelista"/>
        <w:numPr>
          <w:ilvl w:val="0"/>
          <w:numId w:val="2"/>
        </w:numPr>
        <w:spacing w:line="360" w:lineRule="auto"/>
        <w:jc w:val="both"/>
        <w:rPr>
          <w:rFonts w:ascii="Arial Narrow" w:hAnsi="Arial Narrow"/>
          <w:sz w:val="24"/>
        </w:rPr>
      </w:pPr>
      <w:r>
        <w:rPr>
          <w:rFonts w:ascii="Arial Narrow" w:hAnsi="Arial Narrow"/>
          <w:sz w:val="24"/>
        </w:rPr>
        <w:t xml:space="preserve">4 años y </w:t>
      </w:r>
      <w:r w:rsidR="00CA254E">
        <w:rPr>
          <w:rFonts w:ascii="Arial Narrow" w:hAnsi="Arial Narrow"/>
          <w:sz w:val="24"/>
        </w:rPr>
        <w:t>más</w:t>
      </w:r>
      <w:r>
        <w:rPr>
          <w:rFonts w:ascii="Arial Narrow" w:hAnsi="Arial Narrow"/>
          <w:sz w:val="24"/>
        </w:rPr>
        <w:t>: 20%</w:t>
      </w:r>
    </w:p>
    <w:p w:rsidR="00376333" w:rsidRDefault="00376333" w:rsidP="00376333">
      <w:pPr>
        <w:spacing w:line="360" w:lineRule="auto"/>
        <w:jc w:val="both"/>
        <w:rPr>
          <w:rFonts w:ascii="Arial Narrow" w:hAnsi="Arial Narrow"/>
          <w:sz w:val="24"/>
        </w:rPr>
      </w:pPr>
    </w:p>
    <w:p w:rsidR="00376333" w:rsidRDefault="00376333" w:rsidP="00376333">
      <w:pPr>
        <w:spacing w:line="360" w:lineRule="auto"/>
        <w:jc w:val="both"/>
        <w:rPr>
          <w:rFonts w:ascii="Arial Narrow" w:hAnsi="Arial Narrow"/>
          <w:sz w:val="24"/>
        </w:rPr>
      </w:pPr>
      <w:r>
        <w:rPr>
          <w:rFonts w:ascii="Arial Narrow" w:hAnsi="Arial Narrow"/>
          <w:sz w:val="24"/>
        </w:rPr>
        <w:lastRenderedPageBreak/>
        <w:t>Para efecto del cálculo del impuesto sobre renta, las personas naturales deberán hacerlo de acuerdo a lo establecido en el art 37,  verificando el tramo en el cual están sus rentas.</w:t>
      </w:r>
    </w:p>
    <w:p w:rsidR="00376333" w:rsidRDefault="00376333" w:rsidP="00376333">
      <w:pPr>
        <w:spacing w:line="360" w:lineRule="auto"/>
        <w:jc w:val="both"/>
        <w:rPr>
          <w:rFonts w:ascii="Arial Narrow" w:hAnsi="Arial Narrow"/>
          <w:sz w:val="24"/>
        </w:rPr>
      </w:pPr>
      <w:r>
        <w:rPr>
          <w:rFonts w:ascii="Arial Narrow" w:hAnsi="Arial Narrow"/>
          <w:sz w:val="24"/>
        </w:rPr>
        <w:t>En el caso de las empresas, si sus ventas son menores a 150 mil dólares se aplicará un 25%, y si son mayores o iguales a 150 mil dólares será el 30%.</w:t>
      </w:r>
    </w:p>
    <w:p w:rsidR="00376333" w:rsidRDefault="00376333" w:rsidP="00376333">
      <w:pPr>
        <w:spacing w:line="360" w:lineRule="auto"/>
        <w:jc w:val="both"/>
        <w:rPr>
          <w:rFonts w:ascii="Arial Narrow" w:hAnsi="Arial Narrow"/>
          <w:sz w:val="24"/>
        </w:rPr>
      </w:pPr>
      <w:r>
        <w:rPr>
          <w:rFonts w:ascii="Arial Narrow" w:hAnsi="Arial Narrow"/>
          <w:sz w:val="24"/>
        </w:rPr>
        <w:t>La ley también regula cuando sea realicen distribuciones de dividendos que se deberá pagar un 5% del valor acreditado</w:t>
      </w:r>
    </w:p>
    <w:p w:rsidR="00376333" w:rsidRDefault="00376333" w:rsidP="00376333">
      <w:pPr>
        <w:spacing w:line="360" w:lineRule="auto"/>
        <w:jc w:val="both"/>
        <w:rPr>
          <w:rFonts w:ascii="Arial Narrow" w:hAnsi="Arial Narrow"/>
          <w:b/>
          <w:sz w:val="24"/>
        </w:rPr>
      </w:pPr>
      <w:r w:rsidRPr="00376333">
        <w:rPr>
          <w:rFonts w:ascii="Arial Narrow" w:hAnsi="Arial Narrow"/>
          <w:b/>
          <w:sz w:val="24"/>
        </w:rPr>
        <w:t>Retenciones</w:t>
      </w:r>
    </w:p>
    <w:p w:rsidR="00376333" w:rsidRDefault="00376333" w:rsidP="00376333">
      <w:pPr>
        <w:spacing w:line="360" w:lineRule="auto"/>
        <w:jc w:val="both"/>
        <w:rPr>
          <w:rFonts w:ascii="Arial Narrow" w:hAnsi="Arial Narrow"/>
          <w:sz w:val="24"/>
        </w:rPr>
      </w:pPr>
      <w:r>
        <w:rPr>
          <w:rFonts w:ascii="Arial Narrow" w:hAnsi="Arial Narrow"/>
          <w:sz w:val="24"/>
        </w:rPr>
        <w:t>A los asalariados se les retendrá en cada pago de salario de acuerdo a las tablas establecidas en el reglamento, y se realizara un recalculo en los meses de junio y diciembre para determinar que lo retenido sea el impuesto determinado al final del año.</w:t>
      </w:r>
    </w:p>
    <w:p w:rsidR="00376333" w:rsidRDefault="00376333" w:rsidP="00376333">
      <w:pPr>
        <w:spacing w:line="360" w:lineRule="auto"/>
        <w:jc w:val="both"/>
        <w:rPr>
          <w:rFonts w:ascii="Arial Narrow" w:hAnsi="Arial Narrow"/>
          <w:sz w:val="24"/>
        </w:rPr>
      </w:pPr>
      <w:r>
        <w:rPr>
          <w:rFonts w:ascii="Arial Narrow" w:hAnsi="Arial Narrow"/>
          <w:sz w:val="24"/>
        </w:rPr>
        <w:t>Únicamente se hará</w:t>
      </w:r>
      <w:bookmarkStart w:id="0" w:name="_GoBack"/>
      <w:bookmarkEnd w:id="0"/>
      <w:r>
        <w:rPr>
          <w:rFonts w:ascii="Arial Narrow" w:hAnsi="Arial Narrow"/>
          <w:sz w:val="24"/>
        </w:rPr>
        <w:t xml:space="preserve"> esta retención a los trabajadores que ganen más de 503 dólares mensuales.</w:t>
      </w:r>
    </w:p>
    <w:p w:rsidR="00376333" w:rsidRPr="00376333" w:rsidRDefault="00376333" w:rsidP="00376333">
      <w:pPr>
        <w:spacing w:line="360" w:lineRule="auto"/>
        <w:jc w:val="both"/>
        <w:rPr>
          <w:rFonts w:ascii="Arial Narrow" w:hAnsi="Arial Narrow"/>
          <w:sz w:val="24"/>
        </w:rPr>
      </w:pPr>
      <w:r>
        <w:rPr>
          <w:rFonts w:ascii="Arial Narrow" w:hAnsi="Arial Narrow"/>
          <w:sz w:val="24"/>
        </w:rPr>
        <w:t>Cuando las personas naturales presten servicios sin dependencia laboral deberán retenerle el 10%  de no hacerlo el valor del gasto será no deducible.</w:t>
      </w:r>
    </w:p>
    <w:sectPr w:rsidR="00376333" w:rsidRPr="00376333">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CE9" w:rsidRDefault="00896CE9" w:rsidP="00CA254E">
      <w:pPr>
        <w:spacing w:after="0" w:line="240" w:lineRule="auto"/>
      </w:pPr>
      <w:r>
        <w:separator/>
      </w:r>
    </w:p>
  </w:endnote>
  <w:endnote w:type="continuationSeparator" w:id="0">
    <w:p w:rsidR="00896CE9" w:rsidRDefault="00896CE9" w:rsidP="00CA2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54E" w:rsidRDefault="00CA254E">
    <w:pPr>
      <w:pStyle w:val="Piedepgina"/>
    </w:pPr>
    <w:r>
      <w:t>Oscar Francisco Pérez Morán, GT 04, PM09013, operezGT04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CE9" w:rsidRDefault="00896CE9" w:rsidP="00CA254E">
      <w:pPr>
        <w:spacing w:after="0" w:line="240" w:lineRule="auto"/>
      </w:pPr>
      <w:r>
        <w:separator/>
      </w:r>
    </w:p>
  </w:footnote>
  <w:footnote w:type="continuationSeparator" w:id="0">
    <w:p w:rsidR="00896CE9" w:rsidRDefault="00896CE9" w:rsidP="00CA25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506B4E"/>
    <w:multiLevelType w:val="hybridMultilevel"/>
    <w:tmpl w:val="CC92AD6E"/>
    <w:lvl w:ilvl="0" w:tplc="DF3458FA">
      <w:start w:val="3"/>
      <w:numFmt w:val="bullet"/>
      <w:lvlText w:val="-"/>
      <w:lvlJc w:val="left"/>
      <w:pPr>
        <w:ind w:left="720" w:hanging="360"/>
      </w:pPr>
      <w:rPr>
        <w:rFonts w:ascii="Arial Narrow" w:eastAsiaTheme="minorHAnsi" w:hAnsi="Arial Narrow" w:cstheme="minorBidi"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5C04529E"/>
    <w:multiLevelType w:val="hybridMultilevel"/>
    <w:tmpl w:val="81AE680A"/>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728"/>
    <w:rsid w:val="00051B9A"/>
    <w:rsid w:val="00182728"/>
    <w:rsid w:val="00376333"/>
    <w:rsid w:val="00502425"/>
    <w:rsid w:val="00896CE9"/>
    <w:rsid w:val="00B47567"/>
    <w:rsid w:val="00BB7D02"/>
    <w:rsid w:val="00CA254E"/>
    <w:rsid w:val="00DB57EB"/>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82728"/>
    <w:pPr>
      <w:ind w:left="720"/>
      <w:contextualSpacing/>
    </w:pPr>
  </w:style>
  <w:style w:type="paragraph" w:styleId="Encabezado">
    <w:name w:val="header"/>
    <w:basedOn w:val="Normal"/>
    <w:link w:val="EncabezadoCar"/>
    <w:uiPriority w:val="99"/>
    <w:unhideWhenUsed/>
    <w:rsid w:val="00CA254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A254E"/>
  </w:style>
  <w:style w:type="paragraph" w:styleId="Piedepgina">
    <w:name w:val="footer"/>
    <w:basedOn w:val="Normal"/>
    <w:link w:val="PiedepginaCar"/>
    <w:uiPriority w:val="99"/>
    <w:unhideWhenUsed/>
    <w:rsid w:val="00CA254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A25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82728"/>
    <w:pPr>
      <w:ind w:left="720"/>
      <w:contextualSpacing/>
    </w:pPr>
  </w:style>
  <w:style w:type="paragraph" w:styleId="Encabezado">
    <w:name w:val="header"/>
    <w:basedOn w:val="Normal"/>
    <w:link w:val="EncabezadoCar"/>
    <w:uiPriority w:val="99"/>
    <w:unhideWhenUsed/>
    <w:rsid w:val="00CA254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A254E"/>
  </w:style>
  <w:style w:type="paragraph" w:styleId="Piedepgina">
    <w:name w:val="footer"/>
    <w:basedOn w:val="Normal"/>
    <w:link w:val="PiedepginaCar"/>
    <w:uiPriority w:val="99"/>
    <w:unhideWhenUsed/>
    <w:rsid w:val="00CA254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A2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704</Words>
  <Characters>3873</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dc:creator>
  <cp:lastModifiedBy>Fran</cp:lastModifiedBy>
  <cp:revision>2</cp:revision>
  <dcterms:created xsi:type="dcterms:W3CDTF">2013-10-12T06:13:00Z</dcterms:created>
  <dcterms:modified xsi:type="dcterms:W3CDTF">2013-10-12T06:13:00Z</dcterms:modified>
</cp:coreProperties>
</file>