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FD3" w:rsidRPr="0080018C" w:rsidRDefault="00982D95" w:rsidP="004B65FD">
      <w:pPr>
        <w:spacing w:line="360" w:lineRule="auto"/>
        <w:rPr>
          <w:rFonts w:ascii="Arial Narrow" w:hAnsi="Arial Narrow"/>
          <w:b/>
          <w:sz w:val="24"/>
          <w:szCs w:val="24"/>
        </w:rPr>
      </w:pPr>
      <w:r w:rsidRPr="0080018C">
        <w:rPr>
          <w:rFonts w:ascii="Arial Narrow" w:hAnsi="Arial Narrow"/>
          <w:b/>
          <w:sz w:val="24"/>
          <w:szCs w:val="24"/>
        </w:rPr>
        <w:t xml:space="preserve">Precios </w:t>
      </w:r>
      <w:r w:rsidR="0080018C">
        <w:rPr>
          <w:rFonts w:ascii="Arial Narrow" w:hAnsi="Arial Narrow"/>
          <w:b/>
          <w:sz w:val="24"/>
          <w:szCs w:val="24"/>
        </w:rPr>
        <w:t>de transferencia</w:t>
      </w:r>
      <w:r w:rsidR="004B65FD">
        <w:rPr>
          <w:rFonts w:ascii="Arial Narrow" w:hAnsi="Arial Narrow"/>
          <w:b/>
          <w:sz w:val="24"/>
          <w:szCs w:val="24"/>
        </w:rPr>
        <w:t xml:space="preserve">   </w:t>
      </w:r>
      <w:bookmarkStart w:id="0" w:name="_GoBack"/>
      <w:bookmarkEnd w:id="0"/>
      <w:r w:rsidR="004B65FD">
        <w:rPr>
          <w:rFonts w:ascii="Arial Narrow" w:hAnsi="Arial Narrow"/>
          <w:b/>
          <w:sz w:val="24"/>
          <w:szCs w:val="24"/>
        </w:rPr>
        <w:t xml:space="preserve"> Karla </w:t>
      </w:r>
      <w:proofErr w:type="spellStart"/>
      <w:r w:rsidR="004B65FD">
        <w:rPr>
          <w:rFonts w:ascii="Arial Narrow" w:hAnsi="Arial Narrow"/>
          <w:b/>
          <w:sz w:val="24"/>
          <w:szCs w:val="24"/>
        </w:rPr>
        <w:t>Stefanie</w:t>
      </w:r>
      <w:proofErr w:type="spellEnd"/>
      <w:r w:rsidR="004B65FD">
        <w:rPr>
          <w:rFonts w:ascii="Arial Narrow" w:hAnsi="Arial Narrow"/>
          <w:b/>
          <w:sz w:val="24"/>
          <w:szCs w:val="24"/>
        </w:rPr>
        <w:t xml:space="preserve"> López Escobar LE09001  </w:t>
      </w:r>
    </w:p>
    <w:p w:rsidR="00982D95" w:rsidRPr="0080018C" w:rsidRDefault="00982D95" w:rsidP="0080018C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80018C">
        <w:rPr>
          <w:rFonts w:ascii="Arial Narrow" w:hAnsi="Arial Narrow"/>
          <w:b/>
          <w:sz w:val="24"/>
          <w:szCs w:val="24"/>
        </w:rPr>
        <w:t xml:space="preserve">Definición: </w:t>
      </w:r>
    </w:p>
    <w:p w:rsidR="00982D95" w:rsidRPr="0080018C" w:rsidRDefault="00982D95" w:rsidP="0080018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80018C">
        <w:rPr>
          <w:rFonts w:ascii="Arial Narrow" w:hAnsi="Arial Narrow"/>
          <w:sz w:val="24"/>
          <w:szCs w:val="24"/>
        </w:rPr>
        <w:t>“El precio pactado en la trans</w:t>
      </w:r>
      <w:r w:rsidRPr="0080018C">
        <w:rPr>
          <w:rFonts w:ascii="Arial Narrow" w:hAnsi="Arial Narrow"/>
          <w:sz w:val="24"/>
          <w:szCs w:val="24"/>
        </w:rPr>
        <w:t xml:space="preserve">ferencia de bienes tangibles o </w:t>
      </w:r>
      <w:r w:rsidRPr="0080018C">
        <w:rPr>
          <w:rFonts w:ascii="Arial Narrow" w:hAnsi="Arial Narrow"/>
          <w:sz w:val="24"/>
          <w:szCs w:val="24"/>
        </w:rPr>
        <w:t>intangibles, prestación de servici</w:t>
      </w:r>
      <w:r w:rsidRPr="0080018C">
        <w:rPr>
          <w:rFonts w:ascii="Arial Narrow" w:hAnsi="Arial Narrow"/>
          <w:sz w:val="24"/>
          <w:szCs w:val="24"/>
        </w:rPr>
        <w:t xml:space="preserve">os, o cualquier otra operación  </w:t>
      </w:r>
      <w:r w:rsidRPr="0080018C">
        <w:rPr>
          <w:rFonts w:ascii="Arial Narrow" w:hAnsi="Arial Narrow"/>
          <w:sz w:val="24"/>
          <w:szCs w:val="24"/>
        </w:rPr>
        <w:t>realizada entre entidades o sujetos relacionados”.</w:t>
      </w:r>
    </w:p>
    <w:p w:rsidR="00982D95" w:rsidRPr="0080018C" w:rsidRDefault="00982D95" w:rsidP="0080018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80018C">
        <w:rPr>
          <w:rFonts w:ascii="Arial Narrow" w:hAnsi="Arial Narrow"/>
          <w:sz w:val="24"/>
          <w:szCs w:val="24"/>
        </w:rPr>
        <w:t>Enfoques de los precios de transferencia:</w:t>
      </w:r>
    </w:p>
    <w:p w:rsidR="0080018C" w:rsidRPr="0080018C" w:rsidRDefault="00982D95" w:rsidP="0080018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80018C">
        <w:rPr>
          <w:rFonts w:ascii="Arial Narrow" w:hAnsi="Arial Narrow"/>
          <w:sz w:val="24"/>
          <w:szCs w:val="24"/>
        </w:rPr>
        <w:t>Para los grandes grupos multina</w:t>
      </w:r>
      <w:r w:rsidRPr="0080018C">
        <w:rPr>
          <w:rFonts w:ascii="Arial Narrow" w:hAnsi="Arial Narrow"/>
          <w:sz w:val="24"/>
          <w:szCs w:val="24"/>
        </w:rPr>
        <w:t xml:space="preserve">cionales el objetivo es buscar </w:t>
      </w:r>
      <w:r w:rsidRPr="0080018C">
        <w:rPr>
          <w:rFonts w:ascii="Arial Narrow" w:hAnsi="Arial Narrow"/>
          <w:sz w:val="24"/>
          <w:szCs w:val="24"/>
        </w:rPr>
        <w:t>territorios, jurisdicciones o país</w:t>
      </w:r>
      <w:r w:rsidRPr="0080018C">
        <w:rPr>
          <w:rFonts w:ascii="Arial Narrow" w:hAnsi="Arial Narrow"/>
          <w:sz w:val="24"/>
          <w:szCs w:val="24"/>
        </w:rPr>
        <w:t xml:space="preserve">es en donde puedan cumplir sus </w:t>
      </w:r>
      <w:r w:rsidRPr="0080018C">
        <w:rPr>
          <w:rFonts w:ascii="Arial Narrow" w:hAnsi="Arial Narrow"/>
          <w:sz w:val="24"/>
          <w:szCs w:val="24"/>
        </w:rPr>
        <w:t xml:space="preserve">obligaciones fiscales con tasas </w:t>
      </w:r>
      <w:r w:rsidRPr="0080018C">
        <w:rPr>
          <w:rFonts w:ascii="Arial Narrow" w:hAnsi="Arial Narrow"/>
          <w:sz w:val="24"/>
          <w:szCs w:val="24"/>
        </w:rPr>
        <w:t xml:space="preserve">reducidas, con bases gravables </w:t>
      </w:r>
      <w:r w:rsidRPr="0080018C">
        <w:rPr>
          <w:rFonts w:ascii="Arial Narrow" w:hAnsi="Arial Narrow"/>
          <w:sz w:val="24"/>
          <w:szCs w:val="24"/>
        </w:rPr>
        <w:t>sumamente limitadas y de ser posi</w:t>
      </w:r>
      <w:r w:rsidR="0080018C" w:rsidRPr="0080018C">
        <w:rPr>
          <w:rFonts w:ascii="Arial Narrow" w:hAnsi="Arial Narrow"/>
          <w:sz w:val="24"/>
          <w:szCs w:val="24"/>
        </w:rPr>
        <w:t>ble, con la má</w:t>
      </w:r>
      <w:r w:rsidRPr="0080018C">
        <w:rPr>
          <w:rFonts w:ascii="Arial Narrow" w:hAnsi="Arial Narrow"/>
          <w:sz w:val="24"/>
          <w:szCs w:val="24"/>
        </w:rPr>
        <w:t xml:space="preserve">s baja precisión </w:t>
      </w:r>
      <w:r w:rsidRPr="0080018C">
        <w:rPr>
          <w:rFonts w:ascii="Arial Narrow" w:hAnsi="Arial Narrow"/>
          <w:sz w:val="24"/>
          <w:szCs w:val="24"/>
        </w:rPr>
        <w:t>fiscal, o</w:t>
      </w:r>
      <w:r w:rsidR="0080018C" w:rsidRPr="0080018C">
        <w:rPr>
          <w:rFonts w:ascii="Arial Narrow" w:hAnsi="Arial Narrow"/>
          <w:sz w:val="24"/>
          <w:szCs w:val="24"/>
        </w:rPr>
        <w:t xml:space="preserve">ptimizando así sus utilidades. </w:t>
      </w:r>
    </w:p>
    <w:p w:rsidR="00982D95" w:rsidRPr="0080018C" w:rsidRDefault="00982D95" w:rsidP="0080018C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80018C">
        <w:rPr>
          <w:rFonts w:ascii="Arial Narrow" w:hAnsi="Arial Narrow"/>
          <w:sz w:val="24"/>
          <w:szCs w:val="24"/>
        </w:rPr>
        <w:t xml:space="preserve">Por su cuenta las administraciones </w:t>
      </w:r>
      <w:r w:rsidR="0080018C" w:rsidRPr="0080018C">
        <w:rPr>
          <w:rFonts w:ascii="Arial Narrow" w:hAnsi="Arial Narrow"/>
          <w:sz w:val="24"/>
          <w:szCs w:val="24"/>
        </w:rPr>
        <w:t xml:space="preserve">tributarias de cada uno de los </w:t>
      </w:r>
      <w:r w:rsidRPr="0080018C">
        <w:rPr>
          <w:rFonts w:ascii="Arial Narrow" w:hAnsi="Arial Narrow"/>
          <w:sz w:val="24"/>
          <w:szCs w:val="24"/>
        </w:rPr>
        <w:t>países del mundo desean gravar la ri</w:t>
      </w:r>
      <w:r w:rsidR="0080018C" w:rsidRPr="0080018C">
        <w:rPr>
          <w:rFonts w:ascii="Arial Narrow" w:hAnsi="Arial Narrow"/>
          <w:sz w:val="24"/>
          <w:szCs w:val="24"/>
        </w:rPr>
        <w:t xml:space="preserve">queza generada por los sujetos </w:t>
      </w:r>
      <w:r w:rsidRPr="0080018C">
        <w:rPr>
          <w:rFonts w:ascii="Arial Narrow" w:hAnsi="Arial Narrow"/>
          <w:sz w:val="24"/>
          <w:szCs w:val="24"/>
        </w:rPr>
        <w:t>que se encuentran bajo su sobe</w:t>
      </w:r>
      <w:r w:rsidR="0080018C" w:rsidRPr="0080018C">
        <w:rPr>
          <w:rFonts w:ascii="Arial Narrow" w:hAnsi="Arial Narrow"/>
          <w:sz w:val="24"/>
          <w:szCs w:val="24"/>
        </w:rPr>
        <w:t xml:space="preserve">ranía fiscal con el objeto que </w:t>
      </w:r>
      <w:r w:rsidRPr="0080018C">
        <w:rPr>
          <w:rFonts w:ascii="Arial Narrow" w:hAnsi="Arial Narrow"/>
          <w:sz w:val="24"/>
          <w:szCs w:val="24"/>
        </w:rPr>
        <w:t>paguen el impuesto que hubiera</w:t>
      </w:r>
      <w:r w:rsidR="0080018C" w:rsidRPr="0080018C">
        <w:rPr>
          <w:rFonts w:ascii="Arial Narrow" w:hAnsi="Arial Narrow"/>
          <w:sz w:val="24"/>
          <w:szCs w:val="24"/>
        </w:rPr>
        <w:t xml:space="preserve"> correspondido, en operaciones </w:t>
      </w:r>
      <w:r w:rsidRPr="0080018C">
        <w:rPr>
          <w:rFonts w:ascii="Arial Narrow" w:hAnsi="Arial Narrow"/>
          <w:sz w:val="24"/>
          <w:szCs w:val="24"/>
        </w:rPr>
        <w:t>realizadas en un mercado abierto, f</w:t>
      </w:r>
      <w:r w:rsidR="0080018C" w:rsidRPr="0080018C">
        <w:rPr>
          <w:rFonts w:ascii="Arial Narrow" w:hAnsi="Arial Narrow"/>
          <w:sz w:val="24"/>
          <w:szCs w:val="24"/>
        </w:rPr>
        <w:t xml:space="preserve">uera de cualquier manipulación </w:t>
      </w:r>
      <w:r w:rsidRPr="0080018C">
        <w:rPr>
          <w:rFonts w:ascii="Arial Narrow" w:hAnsi="Arial Narrow"/>
          <w:sz w:val="24"/>
          <w:szCs w:val="24"/>
        </w:rPr>
        <w:t>posible.</w:t>
      </w:r>
    </w:p>
    <w:p w:rsidR="0080018C" w:rsidRPr="0080018C" w:rsidRDefault="0080018C" w:rsidP="0080018C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80018C">
        <w:rPr>
          <w:rFonts w:ascii="Arial Narrow" w:hAnsi="Arial Narrow"/>
          <w:sz w:val="24"/>
          <w:szCs w:val="24"/>
        </w:rPr>
        <w:t>L</w:t>
      </w:r>
      <w:r w:rsidRPr="0080018C">
        <w:rPr>
          <w:rFonts w:ascii="Arial Narrow" w:hAnsi="Arial Narrow"/>
          <w:sz w:val="24"/>
          <w:szCs w:val="24"/>
        </w:rPr>
        <w:t>a Organiz</w:t>
      </w:r>
      <w:r w:rsidRPr="0080018C">
        <w:rPr>
          <w:rFonts w:ascii="Arial Narrow" w:hAnsi="Arial Narrow"/>
          <w:sz w:val="24"/>
          <w:szCs w:val="24"/>
        </w:rPr>
        <w:t xml:space="preserve">ación para la Cooperación y el </w:t>
      </w:r>
      <w:r w:rsidRPr="0080018C">
        <w:rPr>
          <w:rFonts w:ascii="Arial Narrow" w:hAnsi="Arial Narrow"/>
          <w:sz w:val="24"/>
          <w:szCs w:val="24"/>
        </w:rPr>
        <w:t>Desarrollo Económico (OCDE), los cu</w:t>
      </w:r>
      <w:r w:rsidRPr="0080018C">
        <w:rPr>
          <w:rFonts w:ascii="Arial Narrow" w:hAnsi="Arial Narrow"/>
          <w:sz w:val="24"/>
          <w:szCs w:val="24"/>
        </w:rPr>
        <w:t xml:space="preserve">ales sientan una base para las </w:t>
      </w:r>
      <w:r w:rsidRPr="0080018C">
        <w:rPr>
          <w:rFonts w:ascii="Arial Narrow" w:hAnsi="Arial Narrow"/>
          <w:sz w:val="24"/>
          <w:szCs w:val="24"/>
        </w:rPr>
        <w:t xml:space="preserve">legislaciones </w:t>
      </w:r>
      <w:r w:rsidRPr="0080018C">
        <w:rPr>
          <w:rFonts w:ascii="Arial Narrow" w:hAnsi="Arial Narrow"/>
          <w:sz w:val="24"/>
          <w:szCs w:val="24"/>
        </w:rPr>
        <w:t>específicas</w:t>
      </w:r>
      <w:r w:rsidRPr="0080018C">
        <w:rPr>
          <w:rFonts w:ascii="Arial Narrow" w:hAnsi="Arial Narrow"/>
          <w:sz w:val="24"/>
          <w:szCs w:val="24"/>
        </w:rPr>
        <w:t xml:space="preserve"> de dive</w:t>
      </w:r>
      <w:r w:rsidRPr="0080018C">
        <w:rPr>
          <w:rFonts w:ascii="Arial Narrow" w:hAnsi="Arial Narrow"/>
          <w:sz w:val="24"/>
          <w:szCs w:val="24"/>
        </w:rPr>
        <w:t xml:space="preserve">rsos países, tanto en aquéllos </w:t>
      </w:r>
      <w:r w:rsidRPr="0080018C">
        <w:rPr>
          <w:rFonts w:ascii="Arial Narrow" w:hAnsi="Arial Narrow"/>
          <w:sz w:val="24"/>
          <w:szCs w:val="24"/>
        </w:rPr>
        <w:t>que pertenecen a la OCDE, como en aquéllos qu</w:t>
      </w:r>
      <w:r w:rsidRPr="0080018C">
        <w:rPr>
          <w:rFonts w:ascii="Arial Narrow" w:hAnsi="Arial Narrow"/>
          <w:sz w:val="24"/>
          <w:szCs w:val="24"/>
        </w:rPr>
        <w:t>e no. Comprenden los siguientes documentos:</w:t>
      </w:r>
    </w:p>
    <w:p w:rsidR="0080018C" w:rsidRPr="0080018C" w:rsidRDefault="0080018C" w:rsidP="0080018C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80018C">
        <w:rPr>
          <w:rFonts w:ascii="Arial Narrow" w:hAnsi="Arial Narrow"/>
          <w:b/>
          <w:sz w:val="24"/>
          <w:szCs w:val="24"/>
        </w:rPr>
        <w:t>Modelo de Convenio Fisc</w:t>
      </w:r>
      <w:r w:rsidRPr="0080018C">
        <w:rPr>
          <w:rFonts w:ascii="Arial Narrow" w:hAnsi="Arial Narrow"/>
          <w:b/>
          <w:sz w:val="24"/>
          <w:szCs w:val="24"/>
        </w:rPr>
        <w:t>al:</w:t>
      </w:r>
      <w:r w:rsidRPr="0080018C">
        <w:rPr>
          <w:rFonts w:ascii="Arial Narrow" w:hAnsi="Arial Narrow"/>
          <w:sz w:val="24"/>
          <w:szCs w:val="24"/>
        </w:rPr>
        <w:t xml:space="preserve"> contiene algunos conceptos </w:t>
      </w:r>
      <w:r w:rsidRPr="0080018C">
        <w:rPr>
          <w:rFonts w:ascii="Arial Narrow" w:hAnsi="Arial Narrow"/>
          <w:sz w:val="24"/>
          <w:szCs w:val="24"/>
        </w:rPr>
        <w:t>trascendentes en materia d</w:t>
      </w:r>
      <w:r w:rsidRPr="0080018C">
        <w:rPr>
          <w:rFonts w:ascii="Arial Narrow" w:hAnsi="Arial Narrow"/>
          <w:sz w:val="24"/>
          <w:szCs w:val="24"/>
        </w:rPr>
        <w:t xml:space="preserve">e Precios de Transferencia, en </w:t>
      </w:r>
      <w:r w:rsidRPr="0080018C">
        <w:rPr>
          <w:rFonts w:ascii="Arial Narrow" w:hAnsi="Arial Narrow"/>
          <w:sz w:val="24"/>
          <w:szCs w:val="24"/>
        </w:rPr>
        <w:t xml:space="preserve">especial el artículo noveno </w:t>
      </w:r>
      <w:r w:rsidRPr="0080018C">
        <w:rPr>
          <w:rFonts w:ascii="Arial Narrow" w:hAnsi="Arial Narrow"/>
          <w:sz w:val="24"/>
          <w:szCs w:val="24"/>
        </w:rPr>
        <w:t xml:space="preserve">dedicado específicamente a las </w:t>
      </w:r>
      <w:r w:rsidRPr="0080018C">
        <w:rPr>
          <w:rFonts w:ascii="Arial Narrow" w:hAnsi="Arial Narrow"/>
          <w:sz w:val="24"/>
          <w:szCs w:val="24"/>
        </w:rPr>
        <w:t>operaciones entre partes relacionadas.</w:t>
      </w:r>
    </w:p>
    <w:p w:rsidR="0080018C" w:rsidRPr="0080018C" w:rsidRDefault="0080018C" w:rsidP="0080018C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80018C">
        <w:rPr>
          <w:rFonts w:ascii="Arial Narrow" w:hAnsi="Arial Narrow"/>
          <w:b/>
          <w:sz w:val="24"/>
          <w:szCs w:val="24"/>
        </w:rPr>
        <w:t xml:space="preserve">Directrices aplicables en materia de </w:t>
      </w:r>
      <w:r w:rsidRPr="0080018C">
        <w:rPr>
          <w:rFonts w:ascii="Arial Narrow" w:hAnsi="Arial Narrow"/>
          <w:b/>
          <w:sz w:val="24"/>
          <w:szCs w:val="24"/>
        </w:rPr>
        <w:t xml:space="preserve">Precios de </w:t>
      </w:r>
      <w:r w:rsidRPr="0080018C">
        <w:rPr>
          <w:rFonts w:ascii="Arial Narrow" w:hAnsi="Arial Narrow"/>
          <w:b/>
          <w:sz w:val="24"/>
          <w:szCs w:val="24"/>
        </w:rPr>
        <w:t>Transferenci</w:t>
      </w:r>
      <w:r w:rsidRPr="0080018C">
        <w:rPr>
          <w:rFonts w:ascii="Arial Narrow" w:hAnsi="Arial Narrow"/>
          <w:b/>
          <w:sz w:val="24"/>
          <w:szCs w:val="24"/>
        </w:rPr>
        <w:t xml:space="preserve">a a Empresas Multinacionales y </w:t>
      </w:r>
      <w:r w:rsidRPr="0080018C">
        <w:rPr>
          <w:rFonts w:ascii="Arial Narrow" w:hAnsi="Arial Narrow"/>
          <w:b/>
          <w:sz w:val="24"/>
          <w:szCs w:val="24"/>
        </w:rPr>
        <w:t>Administraciones Tributari</w:t>
      </w:r>
      <w:r w:rsidRPr="0080018C">
        <w:rPr>
          <w:rFonts w:ascii="Arial Narrow" w:hAnsi="Arial Narrow"/>
          <w:b/>
          <w:sz w:val="24"/>
          <w:szCs w:val="24"/>
        </w:rPr>
        <w:t>as:</w:t>
      </w:r>
      <w:r w:rsidRPr="0080018C">
        <w:rPr>
          <w:rFonts w:ascii="Arial Narrow" w:hAnsi="Arial Narrow"/>
          <w:sz w:val="24"/>
          <w:szCs w:val="24"/>
        </w:rPr>
        <w:t xml:space="preserve"> analizan detalladamente el </w:t>
      </w:r>
      <w:r w:rsidRPr="0080018C">
        <w:rPr>
          <w:rFonts w:ascii="Arial Narrow" w:hAnsi="Arial Narrow"/>
          <w:sz w:val="24"/>
          <w:szCs w:val="24"/>
        </w:rPr>
        <w:t>principio de plena compet</w:t>
      </w:r>
      <w:r w:rsidRPr="0080018C">
        <w:rPr>
          <w:rFonts w:ascii="Arial Narrow" w:hAnsi="Arial Narrow"/>
          <w:sz w:val="24"/>
          <w:szCs w:val="24"/>
        </w:rPr>
        <w:t xml:space="preserve">encia (Principio </w:t>
      </w:r>
      <w:proofErr w:type="spellStart"/>
      <w:r w:rsidRPr="0080018C">
        <w:rPr>
          <w:rFonts w:ascii="Arial Narrow" w:hAnsi="Arial Narrow"/>
          <w:sz w:val="24"/>
          <w:szCs w:val="24"/>
        </w:rPr>
        <w:t>Arm’s</w:t>
      </w:r>
      <w:proofErr w:type="spellEnd"/>
      <w:r w:rsidRPr="0080018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80018C">
        <w:rPr>
          <w:rFonts w:ascii="Arial Narrow" w:hAnsi="Arial Narrow"/>
          <w:sz w:val="24"/>
          <w:szCs w:val="24"/>
        </w:rPr>
        <w:t>Length</w:t>
      </w:r>
      <w:proofErr w:type="spellEnd"/>
      <w:r w:rsidRPr="0080018C">
        <w:rPr>
          <w:rFonts w:ascii="Arial Narrow" w:hAnsi="Arial Narrow"/>
          <w:sz w:val="24"/>
          <w:szCs w:val="24"/>
        </w:rPr>
        <w:t xml:space="preserve">) </w:t>
      </w:r>
      <w:r w:rsidRPr="0080018C">
        <w:rPr>
          <w:rFonts w:ascii="Arial Narrow" w:hAnsi="Arial Narrow"/>
          <w:sz w:val="24"/>
          <w:szCs w:val="24"/>
        </w:rPr>
        <w:t>especificado en el ar</w:t>
      </w:r>
      <w:r w:rsidRPr="0080018C">
        <w:rPr>
          <w:rFonts w:ascii="Arial Narrow" w:hAnsi="Arial Narrow"/>
          <w:sz w:val="24"/>
          <w:szCs w:val="24"/>
        </w:rPr>
        <w:t xml:space="preserve">tículo 9 del Modelo Convenio y </w:t>
      </w:r>
      <w:r w:rsidRPr="0080018C">
        <w:rPr>
          <w:rFonts w:ascii="Arial Narrow" w:hAnsi="Arial Narrow"/>
          <w:sz w:val="24"/>
          <w:szCs w:val="24"/>
        </w:rPr>
        <w:t>establecen los procedimientos, me</w:t>
      </w:r>
      <w:r w:rsidRPr="0080018C">
        <w:rPr>
          <w:rFonts w:ascii="Arial Narrow" w:hAnsi="Arial Narrow"/>
          <w:sz w:val="24"/>
          <w:szCs w:val="24"/>
        </w:rPr>
        <w:t xml:space="preserve">todología y otros </w:t>
      </w:r>
      <w:r w:rsidRPr="0080018C">
        <w:rPr>
          <w:rFonts w:ascii="Arial Narrow" w:hAnsi="Arial Narrow"/>
          <w:sz w:val="24"/>
          <w:szCs w:val="24"/>
        </w:rPr>
        <w:t xml:space="preserve">conceptos relacionados a los Precios de Transferencia. </w:t>
      </w:r>
    </w:p>
    <w:p w:rsidR="0080018C" w:rsidRPr="0080018C" w:rsidRDefault="0080018C" w:rsidP="0080018C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80018C">
        <w:rPr>
          <w:rFonts w:ascii="Arial Narrow" w:hAnsi="Arial Narrow"/>
          <w:b/>
          <w:sz w:val="24"/>
          <w:szCs w:val="24"/>
        </w:rPr>
        <w:t>Propuesta de Legislación</w:t>
      </w:r>
      <w:r w:rsidRPr="0080018C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Pr="0080018C">
        <w:rPr>
          <w:rFonts w:ascii="Arial Narrow" w:hAnsi="Arial Narrow"/>
          <w:b/>
          <w:sz w:val="24"/>
          <w:szCs w:val="24"/>
        </w:rPr>
        <w:t>Pt´s</w:t>
      </w:r>
      <w:proofErr w:type="spellEnd"/>
      <w:r w:rsidRPr="0080018C">
        <w:rPr>
          <w:rFonts w:ascii="Arial Narrow" w:hAnsi="Arial Narrow"/>
          <w:b/>
          <w:sz w:val="24"/>
          <w:szCs w:val="24"/>
        </w:rPr>
        <w:t xml:space="preserve">: </w:t>
      </w:r>
      <w:r w:rsidRPr="0080018C">
        <w:rPr>
          <w:rFonts w:ascii="Arial Narrow" w:hAnsi="Arial Narrow"/>
          <w:sz w:val="24"/>
          <w:szCs w:val="24"/>
        </w:rPr>
        <w:t xml:space="preserve">comprende una propuesta </w:t>
      </w:r>
      <w:r w:rsidRPr="0080018C">
        <w:rPr>
          <w:rFonts w:ascii="Arial Narrow" w:hAnsi="Arial Narrow"/>
          <w:sz w:val="24"/>
          <w:szCs w:val="24"/>
        </w:rPr>
        <w:t>de normativa de precios d</w:t>
      </w:r>
      <w:r w:rsidRPr="0080018C">
        <w:rPr>
          <w:rFonts w:ascii="Arial Narrow" w:hAnsi="Arial Narrow"/>
          <w:sz w:val="24"/>
          <w:szCs w:val="24"/>
        </w:rPr>
        <w:t xml:space="preserve">e transferencia en cuanto a su </w:t>
      </w:r>
      <w:r w:rsidRPr="0080018C">
        <w:rPr>
          <w:rFonts w:ascii="Arial Narrow" w:hAnsi="Arial Narrow"/>
          <w:sz w:val="24"/>
          <w:szCs w:val="24"/>
        </w:rPr>
        <w:t>estructura y contenido.</w:t>
      </w:r>
    </w:p>
    <w:p w:rsidR="0080018C" w:rsidRDefault="0080018C" w:rsidP="0080018C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80018C" w:rsidRPr="004B65FD" w:rsidRDefault="0080018C" w:rsidP="0080018C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4B65FD">
        <w:rPr>
          <w:rFonts w:ascii="Arial Narrow" w:hAnsi="Arial Narrow"/>
          <w:b/>
          <w:sz w:val="24"/>
          <w:szCs w:val="24"/>
        </w:rPr>
        <w:lastRenderedPageBreak/>
        <w:t>Normativa legal salvadoreña: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461"/>
      </w:tblGrid>
      <w:tr w:rsidR="0080018C" w:rsidRPr="00AB2506" w:rsidTr="004B65FD">
        <w:tc>
          <w:tcPr>
            <w:tcW w:w="3085" w:type="dxa"/>
          </w:tcPr>
          <w:p w:rsidR="0080018C" w:rsidRPr="004B65FD" w:rsidRDefault="0080018C" w:rsidP="0080018C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B65FD">
              <w:rPr>
                <w:rFonts w:ascii="Arial Narrow" w:hAnsi="Arial Narrow"/>
                <w:b/>
                <w:sz w:val="24"/>
                <w:szCs w:val="24"/>
              </w:rPr>
              <w:t>Determinación de Precios</w:t>
            </w:r>
          </w:p>
        </w:tc>
        <w:tc>
          <w:tcPr>
            <w:tcW w:w="6461" w:type="dxa"/>
          </w:tcPr>
          <w:p w:rsidR="0080018C" w:rsidRPr="00AB2506" w:rsidRDefault="0080018C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 xml:space="preserve">Artículo 62-A del C.T. </w:t>
            </w:r>
          </w:p>
          <w:p w:rsidR="0080018C" w:rsidRPr="00AB2506" w:rsidRDefault="0080018C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 xml:space="preserve"> Para efectos tributarios, los contribuy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entes que celebren operaciones </w:t>
            </w:r>
            <w:r w:rsidRPr="00AB2506">
              <w:rPr>
                <w:rFonts w:ascii="Arial Narrow" w:hAnsi="Arial Narrow"/>
                <w:sz w:val="24"/>
                <w:szCs w:val="24"/>
              </w:rPr>
              <w:t>o transacciones con sujetos rel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acionados, estarán obligados a </w:t>
            </w:r>
            <w:r w:rsidRPr="00AB2506">
              <w:rPr>
                <w:rFonts w:ascii="Arial Narrow" w:hAnsi="Arial Narrow"/>
                <w:sz w:val="24"/>
                <w:szCs w:val="24"/>
              </w:rPr>
              <w:t>determinar los precios y mon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tos de las contraprestaciones, </w:t>
            </w:r>
            <w:r w:rsidRPr="00AB2506">
              <w:rPr>
                <w:rFonts w:ascii="Arial Narrow" w:hAnsi="Arial Narrow"/>
                <w:sz w:val="24"/>
                <w:szCs w:val="24"/>
              </w:rPr>
              <w:t>considerando para esas operaciones lo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s precios de mercado </w:t>
            </w:r>
            <w:r w:rsidRPr="00AB2506">
              <w:rPr>
                <w:rFonts w:ascii="Arial Narrow" w:hAnsi="Arial Narrow"/>
                <w:sz w:val="24"/>
                <w:szCs w:val="24"/>
              </w:rPr>
              <w:t>utilizados en transferencias de bienes o</w:t>
            </w:r>
            <w:r w:rsidR="00AB2506" w:rsidRPr="00AB2506">
              <w:rPr>
                <w:rFonts w:ascii="Arial Narrow" w:hAnsi="Arial Narrow"/>
                <w:sz w:val="24"/>
                <w:szCs w:val="24"/>
              </w:rPr>
              <w:t xml:space="preserve"> prestación de servicios de la 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misma especie, entre sujetos </w:t>
            </w:r>
            <w:r w:rsidR="00AB2506" w:rsidRPr="00AB2506">
              <w:rPr>
                <w:rFonts w:ascii="Arial Narrow" w:hAnsi="Arial Narrow"/>
                <w:sz w:val="24"/>
                <w:szCs w:val="24"/>
              </w:rPr>
              <w:t xml:space="preserve">independientes. Igualmente los </w:t>
            </w:r>
            <w:r w:rsidRPr="00AB2506">
              <w:rPr>
                <w:rFonts w:ascii="Arial Narrow" w:hAnsi="Arial Narrow"/>
                <w:sz w:val="24"/>
                <w:szCs w:val="24"/>
              </w:rPr>
              <w:t>contribuyentes deberán deter</w:t>
            </w:r>
            <w:r w:rsidR="00AB2506" w:rsidRPr="00AB2506">
              <w:rPr>
                <w:rFonts w:ascii="Arial Narrow" w:hAnsi="Arial Narrow"/>
                <w:sz w:val="24"/>
                <w:szCs w:val="24"/>
              </w:rPr>
              <w:t xml:space="preserve">minar a precios de mercado las </w:t>
            </w:r>
            <w:r w:rsidRPr="00AB2506">
              <w:rPr>
                <w:rFonts w:ascii="Arial Narrow" w:hAnsi="Arial Narrow"/>
                <w:sz w:val="24"/>
                <w:szCs w:val="24"/>
              </w:rPr>
              <w:t>operaciones o transacciones que se celebr</w:t>
            </w:r>
            <w:r w:rsidR="00AB2506" w:rsidRPr="00AB2506">
              <w:rPr>
                <w:rFonts w:ascii="Arial Narrow" w:hAnsi="Arial Narrow"/>
                <w:sz w:val="24"/>
                <w:szCs w:val="24"/>
              </w:rPr>
              <w:t xml:space="preserve">en con sujetos </w:t>
            </w:r>
            <w:r w:rsidRPr="00AB2506">
              <w:rPr>
                <w:rFonts w:ascii="Arial Narrow" w:hAnsi="Arial Narrow"/>
                <w:sz w:val="24"/>
                <w:szCs w:val="24"/>
              </w:rPr>
              <w:t>domiciliados, constituidos o ubicados en</w:t>
            </w:r>
            <w:r w:rsidR="00AB2506" w:rsidRPr="00AB2506">
              <w:rPr>
                <w:rFonts w:ascii="Arial Narrow" w:hAnsi="Arial Narrow"/>
                <w:sz w:val="24"/>
                <w:szCs w:val="24"/>
              </w:rPr>
              <w:t xml:space="preserve"> países, estados o territorios </w:t>
            </w:r>
            <w:r w:rsidRPr="00AB2506">
              <w:rPr>
                <w:rFonts w:ascii="Arial Narrow" w:hAnsi="Arial Narrow"/>
                <w:sz w:val="24"/>
                <w:szCs w:val="24"/>
              </w:rPr>
              <w:t>con regímenes fiscales preferentes</w:t>
            </w:r>
            <w:r w:rsidR="00AB2506" w:rsidRPr="00AB2506">
              <w:rPr>
                <w:rFonts w:ascii="Arial Narrow" w:hAnsi="Arial Narrow"/>
                <w:sz w:val="24"/>
                <w:szCs w:val="24"/>
              </w:rPr>
              <w:t xml:space="preserve">, de baja o nula tributación o 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paraísos fiscales. </w:t>
            </w:r>
            <w:r w:rsidRPr="00AB2506">
              <w:rPr>
                <w:rFonts w:ascii="Arial Narrow" w:hAnsi="Arial Narrow"/>
                <w:sz w:val="24"/>
                <w:szCs w:val="24"/>
              </w:rPr>
              <w:cr/>
            </w:r>
          </w:p>
          <w:p w:rsidR="00AB2506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0018C" w:rsidRPr="00AB2506" w:rsidTr="004B65FD">
        <w:tc>
          <w:tcPr>
            <w:tcW w:w="3085" w:type="dxa"/>
          </w:tcPr>
          <w:p w:rsidR="0080018C" w:rsidRPr="004B65FD" w:rsidRDefault="00AB2506" w:rsidP="0080018C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B65FD">
              <w:rPr>
                <w:rFonts w:ascii="Arial Narrow" w:hAnsi="Arial Narrow"/>
                <w:b/>
                <w:sz w:val="24"/>
                <w:szCs w:val="24"/>
              </w:rPr>
              <w:t>Estimación de la Base Imponible</w:t>
            </w:r>
          </w:p>
        </w:tc>
        <w:tc>
          <w:tcPr>
            <w:tcW w:w="6461" w:type="dxa"/>
          </w:tcPr>
          <w:p w:rsidR="00AB2506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 xml:space="preserve">Artículo 199-A del C.T. </w:t>
            </w:r>
          </w:p>
          <w:p w:rsidR="00AB2506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 xml:space="preserve">Se faculta a la Administración Tributaria para </w:t>
            </w:r>
          </w:p>
          <w:p w:rsidR="00AB2506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 xml:space="preserve">• Estimar la base imponible de IVA: si el precio 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de la transferencia o monto de </w:t>
            </w:r>
            <w:r w:rsidRPr="00AB2506">
              <w:rPr>
                <w:rFonts w:ascii="Arial Narrow" w:hAnsi="Arial Narrow"/>
                <w:sz w:val="24"/>
                <w:szCs w:val="24"/>
              </w:rPr>
              <w:t>la remuneración no fueren fidedignos o resulta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ren inferiores o superiores al 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corriente de mercado. </w:t>
            </w:r>
          </w:p>
          <w:p w:rsidR="00AB2506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 xml:space="preserve">• Establecer el crédito fiscal: cuando el precio de 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adquisición, sea superior al 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corriente de mercado. </w:t>
            </w:r>
          </w:p>
          <w:p w:rsidR="0080018C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 xml:space="preserve">• Determinar la renta y deducciones del 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ISR: cuando éstas resulten ser </w:t>
            </w:r>
            <w:r w:rsidRPr="00AB2506">
              <w:rPr>
                <w:rFonts w:ascii="Arial Narrow" w:hAnsi="Arial Narrow"/>
                <w:sz w:val="24"/>
                <w:szCs w:val="24"/>
              </w:rPr>
              <w:t>inferiores o superiores a los precios de mercado</w:t>
            </w:r>
          </w:p>
          <w:p w:rsidR="00AB2506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0018C" w:rsidRPr="00AB2506" w:rsidTr="004B65FD">
        <w:tc>
          <w:tcPr>
            <w:tcW w:w="3085" w:type="dxa"/>
          </w:tcPr>
          <w:p w:rsidR="0080018C" w:rsidRPr="004B65FD" w:rsidRDefault="00AB2506" w:rsidP="0080018C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B65FD">
              <w:rPr>
                <w:rFonts w:ascii="Arial Narrow" w:hAnsi="Arial Narrow"/>
                <w:b/>
                <w:sz w:val="24"/>
                <w:szCs w:val="24"/>
              </w:rPr>
              <w:t xml:space="preserve">Sujetos relacionados </w:t>
            </w:r>
          </w:p>
        </w:tc>
        <w:tc>
          <w:tcPr>
            <w:tcW w:w="6461" w:type="dxa"/>
          </w:tcPr>
          <w:p w:rsidR="00AB2506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 xml:space="preserve">Artículo 199-C del C.T. </w:t>
            </w:r>
          </w:p>
          <w:p w:rsidR="00AB2506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>Para efectos de lo dispuesto en este Código y demás leyes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 tributarias se 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entenderá como sujetos relacionados: </w:t>
            </w:r>
          </w:p>
          <w:p w:rsidR="00AB2506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>a) Cuando uno de ellos dirija o contro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le la otra, o posea, directa o </w:t>
            </w:r>
            <w:r w:rsidRPr="00AB2506">
              <w:rPr>
                <w:rFonts w:ascii="Arial Narrow" w:hAnsi="Arial Narrow"/>
                <w:sz w:val="24"/>
                <w:szCs w:val="24"/>
              </w:rPr>
              <w:t>indirectamente, al menos el 25% de su capit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al social o de sus derechos de 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voto. </w:t>
            </w:r>
          </w:p>
          <w:p w:rsidR="00AB2506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AB2506">
              <w:rPr>
                <w:rFonts w:ascii="Arial Narrow" w:hAnsi="Arial Narrow"/>
                <w:sz w:val="24"/>
                <w:szCs w:val="24"/>
              </w:rPr>
              <w:t>b) Cuando cinco o menos personas dirijan o cont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rolen ambas personas, o </w:t>
            </w:r>
            <w:r w:rsidRPr="00AB2506">
              <w:rPr>
                <w:rFonts w:ascii="Arial Narrow" w:hAnsi="Arial Narrow"/>
                <w:sz w:val="24"/>
                <w:szCs w:val="24"/>
              </w:rPr>
              <w:t>posean en su conjunto, directa o indi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rectamente, al menos el 25% de </w:t>
            </w:r>
            <w:r w:rsidRPr="00AB2506">
              <w:rPr>
                <w:rFonts w:ascii="Arial Narrow" w:hAnsi="Arial Narrow"/>
                <w:sz w:val="24"/>
                <w:szCs w:val="24"/>
              </w:rPr>
              <w:t>participación en el capital social o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 los derechos de voto de ambas 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personas. </w:t>
            </w:r>
          </w:p>
          <w:p w:rsidR="0080018C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>c) Cuando sean sociedades que per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tenezcan a una misma unidad de </w:t>
            </w:r>
            <w:r w:rsidRPr="00AB2506">
              <w:rPr>
                <w:rFonts w:ascii="Arial Narrow" w:hAnsi="Arial Narrow"/>
                <w:sz w:val="24"/>
                <w:szCs w:val="24"/>
              </w:rPr>
              <w:t>decisión o grupo empresarial.</w:t>
            </w:r>
          </w:p>
          <w:p w:rsidR="004B65FD" w:rsidRPr="00AB2506" w:rsidRDefault="004B65FD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0018C" w:rsidRPr="00AB2506" w:rsidTr="004B65FD">
        <w:tc>
          <w:tcPr>
            <w:tcW w:w="3085" w:type="dxa"/>
          </w:tcPr>
          <w:p w:rsidR="0080018C" w:rsidRPr="004B65FD" w:rsidRDefault="00AB2506" w:rsidP="0080018C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4B65FD">
              <w:rPr>
                <w:rFonts w:ascii="Arial Narrow" w:hAnsi="Arial Narrow"/>
                <w:b/>
                <w:sz w:val="24"/>
                <w:szCs w:val="24"/>
              </w:rPr>
              <w:t>Sujetos domiciliados en Países de baja o nula tributación o Paraísos Fiscales</w:t>
            </w:r>
          </w:p>
        </w:tc>
        <w:tc>
          <w:tcPr>
            <w:tcW w:w="6461" w:type="dxa"/>
          </w:tcPr>
          <w:p w:rsidR="00AB2506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 xml:space="preserve">Artículo 199-D, inciso último del C.T. </w:t>
            </w:r>
          </w:p>
          <w:p w:rsidR="0080018C" w:rsidRPr="00AB2506" w:rsidRDefault="00AB2506" w:rsidP="004B65FD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B2506">
              <w:rPr>
                <w:rFonts w:ascii="Arial Narrow" w:hAnsi="Arial Narrow"/>
                <w:sz w:val="24"/>
                <w:szCs w:val="24"/>
              </w:rPr>
              <w:t>Las operaciones con sujetos domiciliados, cons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tituidos o ubicados en países, </w:t>
            </w:r>
            <w:r w:rsidRPr="00AB2506">
              <w:rPr>
                <w:rFonts w:ascii="Arial Narrow" w:hAnsi="Arial Narrow"/>
                <w:sz w:val="24"/>
                <w:szCs w:val="24"/>
              </w:rPr>
              <w:t>estados o territorios con regímenes fiscal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es preferentes, de baja o nula </w:t>
            </w:r>
            <w:r w:rsidRPr="00AB2506">
              <w:rPr>
                <w:rFonts w:ascii="Arial Narrow" w:hAnsi="Arial Narrow"/>
                <w:sz w:val="24"/>
                <w:szCs w:val="24"/>
              </w:rPr>
              <w:t>tributación o paraísos fiscales, no consti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tuyen operaciones entre partes </w:t>
            </w:r>
            <w:r w:rsidRPr="00AB2506">
              <w:rPr>
                <w:rFonts w:ascii="Arial Narrow" w:hAnsi="Arial Narrow"/>
                <w:sz w:val="24"/>
                <w:szCs w:val="24"/>
              </w:rPr>
              <w:t xml:space="preserve">independientes. </w:t>
            </w:r>
          </w:p>
        </w:tc>
      </w:tr>
    </w:tbl>
    <w:p w:rsidR="0080018C" w:rsidRDefault="0080018C" w:rsidP="0080018C"/>
    <w:sectPr w:rsidR="0080018C" w:rsidSect="0080018C">
      <w:pgSz w:w="12240" w:h="15840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A4465"/>
    <w:multiLevelType w:val="hybridMultilevel"/>
    <w:tmpl w:val="3812905E"/>
    <w:lvl w:ilvl="0" w:tplc="440A0019">
      <w:start w:val="1"/>
      <w:numFmt w:val="lowerLetter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D7568"/>
    <w:multiLevelType w:val="hybridMultilevel"/>
    <w:tmpl w:val="DF2C3DA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D95"/>
    <w:rsid w:val="004B65FD"/>
    <w:rsid w:val="00790FD3"/>
    <w:rsid w:val="0080018C"/>
    <w:rsid w:val="00982D95"/>
    <w:rsid w:val="00AB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018C"/>
    <w:pPr>
      <w:ind w:left="720"/>
      <w:contextualSpacing/>
    </w:pPr>
  </w:style>
  <w:style w:type="table" w:styleId="Tablaconcuadrcula">
    <w:name w:val="Table Grid"/>
    <w:basedOn w:val="Tablanormal"/>
    <w:uiPriority w:val="59"/>
    <w:rsid w:val="00800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0018C"/>
    <w:pPr>
      <w:ind w:left="720"/>
      <w:contextualSpacing/>
    </w:pPr>
  </w:style>
  <w:style w:type="table" w:styleId="Tablaconcuadrcula">
    <w:name w:val="Table Grid"/>
    <w:basedOn w:val="Tablanormal"/>
    <w:uiPriority w:val="59"/>
    <w:rsid w:val="008001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634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1</cp:revision>
  <dcterms:created xsi:type="dcterms:W3CDTF">2013-10-27T22:28:00Z</dcterms:created>
  <dcterms:modified xsi:type="dcterms:W3CDTF">2013-10-27T23:04:00Z</dcterms:modified>
</cp:coreProperties>
</file>