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4240" w:rsidRPr="005754C2" w:rsidRDefault="00DF4240" w:rsidP="00DF4240">
      <w:pPr>
        <w:jc w:val="center"/>
        <w:rPr>
          <w:rFonts w:ascii="Times New Roman" w:hAnsi="Times New Roman" w:cs="Times New Roman"/>
          <w:b/>
          <w:sz w:val="24"/>
          <w:szCs w:val="24"/>
        </w:rPr>
      </w:pPr>
      <w:r w:rsidRPr="005754C2">
        <w:rPr>
          <w:rFonts w:ascii="Times New Roman" w:hAnsi="Times New Roman" w:cs="Times New Roman"/>
          <w:b/>
          <w:sz w:val="24"/>
          <w:szCs w:val="24"/>
        </w:rPr>
        <w:t xml:space="preserve">Control de Lectura </w:t>
      </w:r>
      <w:r>
        <w:rPr>
          <w:rFonts w:ascii="Times New Roman" w:hAnsi="Times New Roman" w:cs="Times New Roman"/>
          <w:b/>
          <w:sz w:val="24"/>
          <w:szCs w:val="24"/>
        </w:rPr>
        <w:t xml:space="preserve">5 </w:t>
      </w:r>
      <w:bookmarkStart w:id="0" w:name="_GoBack"/>
      <w:bookmarkEnd w:id="0"/>
      <w:r w:rsidRPr="005754C2">
        <w:rPr>
          <w:rFonts w:ascii="Times New Roman" w:hAnsi="Times New Roman" w:cs="Times New Roman"/>
          <w:b/>
          <w:sz w:val="24"/>
          <w:szCs w:val="24"/>
        </w:rPr>
        <w:t>– Ley de Impuesto sobre la Renta</w:t>
      </w:r>
    </w:p>
    <w:p w:rsidR="00DF4240" w:rsidRPr="005754C2" w:rsidRDefault="00DF4240" w:rsidP="00DF4240">
      <w:pPr>
        <w:jc w:val="center"/>
        <w:rPr>
          <w:rFonts w:ascii="Times New Roman" w:hAnsi="Times New Roman" w:cs="Times New Roman"/>
          <w:b/>
          <w:sz w:val="24"/>
          <w:szCs w:val="24"/>
        </w:rPr>
      </w:pPr>
      <w:r w:rsidRPr="005754C2">
        <w:rPr>
          <w:rFonts w:ascii="Times New Roman" w:hAnsi="Times New Roman" w:cs="Times New Roman"/>
          <w:b/>
          <w:sz w:val="24"/>
          <w:szCs w:val="24"/>
        </w:rPr>
        <w:t>Materia: Seminario de Auditoria   Catedrático: Lic. Javier Miranda</w:t>
      </w:r>
    </w:p>
    <w:p w:rsidR="00DF4240" w:rsidRPr="005754C2" w:rsidRDefault="00DF4240" w:rsidP="00DF4240">
      <w:pPr>
        <w:jc w:val="center"/>
        <w:rPr>
          <w:rFonts w:ascii="Times New Roman" w:hAnsi="Times New Roman" w:cs="Times New Roman"/>
          <w:b/>
          <w:sz w:val="24"/>
          <w:szCs w:val="24"/>
        </w:rPr>
      </w:pPr>
      <w:r>
        <w:rPr>
          <w:rFonts w:ascii="Times New Roman" w:hAnsi="Times New Roman" w:cs="Times New Roman"/>
          <w:b/>
          <w:sz w:val="24"/>
          <w:szCs w:val="24"/>
        </w:rPr>
        <w:t>Alumno</w:t>
      </w:r>
      <w:r w:rsidRPr="005754C2">
        <w:rPr>
          <w:rFonts w:ascii="Times New Roman" w:hAnsi="Times New Roman" w:cs="Times New Roman"/>
          <w:b/>
          <w:sz w:val="24"/>
          <w:szCs w:val="24"/>
        </w:rPr>
        <w:t xml:space="preserve">: </w:t>
      </w:r>
      <w:r>
        <w:rPr>
          <w:rFonts w:ascii="Times New Roman" w:hAnsi="Times New Roman" w:cs="Times New Roman"/>
          <w:b/>
          <w:sz w:val="24"/>
          <w:szCs w:val="24"/>
        </w:rPr>
        <w:t>Giovanni Daniel Montano</w:t>
      </w:r>
      <w:r w:rsidRPr="005754C2">
        <w:rPr>
          <w:rFonts w:ascii="Times New Roman" w:hAnsi="Times New Roman" w:cs="Times New Roman"/>
          <w:b/>
          <w:sz w:val="24"/>
          <w:szCs w:val="24"/>
        </w:rPr>
        <w:t xml:space="preserve"> </w:t>
      </w:r>
      <w:r>
        <w:rPr>
          <w:rFonts w:ascii="Times New Roman" w:hAnsi="Times New Roman" w:cs="Times New Roman"/>
          <w:b/>
          <w:sz w:val="24"/>
          <w:szCs w:val="24"/>
        </w:rPr>
        <w:t>Carnet: MA08013</w:t>
      </w:r>
      <w:r w:rsidRPr="005754C2">
        <w:rPr>
          <w:rFonts w:ascii="Times New Roman" w:hAnsi="Times New Roman" w:cs="Times New Roman"/>
          <w:b/>
          <w:sz w:val="24"/>
          <w:szCs w:val="24"/>
        </w:rPr>
        <w:t xml:space="preserve">  Usuario: </w:t>
      </w:r>
      <w:proofErr w:type="spellStart"/>
      <w:r>
        <w:rPr>
          <w:rFonts w:ascii="Times New Roman" w:hAnsi="Times New Roman" w:cs="Times New Roman"/>
          <w:b/>
          <w:sz w:val="24"/>
          <w:szCs w:val="24"/>
        </w:rPr>
        <w:t>giomontano</w:t>
      </w:r>
      <w:proofErr w:type="spellEnd"/>
    </w:p>
    <w:p w:rsidR="00DF4240" w:rsidRPr="00DF4240" w:rsidRDefault="00DF4240" w:rsidP="00DF4240">
      <w:pPr>
        <w:jc w:val="both"/>
        <w:rPr>
          <w:rFonts w:ascii="Arial Narrow" w:hAnsi="Arial Narrow"/>
          <w:b/>
        </w:rPr>
      </w:pPr>
      <w:r w:rsidRPr="00DF4240">
        <w:rPr>
          <w:rFonts w:ascii="Arial Narrow" w:hAnsi="Arial Narrow"/>
          <w:b/>
        </w:rPr>
        <w:t>ANTECEDENTES</w:t>
      </w:r>
    </w:p>
    <w:p w:rsidR="00DF4240" w:rsidRDefault="00DF4240" w:rsidP="00DF4240">
      <w:pPr>
        <w:jc w:val="both"/>
        <w:rPr>
          <w:rFonts w:ascii="Arial Narrow" w:hAnsi="Arial Narrow"/>
        </w:rPr>
      </w:pPr>
      <w:r w:rsidRPr="00DF4240">
        <w:rPr>
          <w:rFonts w:ascii="Arial Narrow" w:hAnsi="Arial Narrow"/>
        </w:rPr>
        <w:t>Dentro de los elementos del tributo cabe destacar un aspecto inherente a los mismos y es precisamente el relativo a la anticipación del tributo que puede adoptar la modalidad de anticipo a cuenta, pago fraccionado, retención o percepción, según la forma en que lo haya dispuesto el legislador tributario.</w:t>
      </w:r>
    </w:p>
    <w:p w:rsidR="00DF4240" w:rsidRPr="00DF4240" w:rsidRDefault="00DF4240" w:rsidP="00DF4240">
      <w:pPr>
        <w:jc w:val="both"/>
        <w:rPr>
          <w:rFonts w:ascii="Arial Narrow" w:hAnsi="Arial Narrow"/>
        </w:rPr>
      </w:pPr>
      <w:r>
        <w:rPr>
          <w:rFonts w:ascii="Arial Narrow" w:hAnsi="Arial Narrow"/>
        </w:rPr>
        <w:t>Algunos conceptos que se generan en esta ley son:</w:t>
      </w:r>
    </w:p>
    <w:p w:rsidR="00DF4240" w:rsidRPr="00DF4240" w:rsidRDefault="00DF4240" w:rsidP="00DF4240">
      <w:pPr>
        <w:spacing w:before="100" w:beforeAutospacing="1" w:after="100" w:afterAutospacing="1" w:line="240" w:lineRule="auto"/>
        <w:rPr>
          <w:rFonts w:ascii="Arial Narrow" w:eastAsia="Times New Roman" w:hAnsi="Arial Narrow" w:cs="Arial"/>
          <w:color w:val="000000"/>
          <w:sz w:val="28"/>
          <w:szCs w:val="27"/>
          <w:lang w:eastAsia="es-SV"/>
        </w:rPr>
      </w:pPr>
      <w:bookmarkStart w:id="1" w:name="Renta"/>
      <w:r w:rsidRPr="00DF4240">
        <w:rPr>
          <w:rFonts w:ascii="Arial Narrow" w:eastAsia="Times New Roman" w:hAnsi="Arial Narrow" w:cs="Arial"/>
          <w:b/>
          <w:bCs/>
          <w:color w:val="000000"/>
          <w:szCs w:val="20"/>
          <w:lang w:eastAsia="es-SV"/>
        </w:rPr>
        <w:t>Renta</w:t>
      </w:r>
      <w:bookmarkEnd w:id="1"/>
      <w:r w:rsidRPr="00DF4240">
        <w:rPr>
          <w:rFonts w:ascii="Arial Narrow" w:eastAsia="Times New Roman" w:hAnsi="Arial Narrow" w:cs="Arial"/>
          <w:color w:val="000000"/>
          <w:szCs w:val="20"/>
          <w:lang w:eastAsia="es-SV"/>
        </w:rPr>
        <w:t>: Ingresos que constituyan utilidades o beneficios que rindan una cosa o actividad y todos los beneficios, utilidades e incrementos de patrimonio que se perciben o devenguen, cualquiera sea su origen, naturaleza o denominación.</w:t>
      </w:r>
    </w:p>
    <w:p w:rsidR="00DF4240" w:rsidRPr="00DF4240" w:rsidRDefault="00DF4240" w:rsidP="00DF4240">
      <w:pPr>
        <w:spacing w:before="100" w:beforeAutospacing="1" w:after="100" w:afterAutospacing="1" w:line="240" w:lineRule="auto"/>
        <w:rPr>
          <w:rFonts w:ascii="Arial Narrow" w:eastAsia="Times New Roman" w:hAnsi="Arial Narrow" w:cs="Arial"/>
          <w:color w:val="000000"/>
          <w:sz w:val="28"/>
          <w:szCs w:val="27"/>
          <w:lang w:eastAsia="es-SV"/>
        </w:rPr>
      </w:pPr>
      <w:bookmarkStart w:id="2" w:name="Renta_bruta"/>
      <w:r w:rsidRPr="00DF4240">
        <w:rPr>
          <w:rFonts w:ascii="Arial Narrow" w:eastAsia="Times New Roman" w:hAnsi="Arial Narrow" w:cs="Arial"/>
          <w:b/>
          <w:bCs/>
          <w:color w:val="000000"/>
          <w:szCs w:val="20"/>
          <w:lang w:eastAsia="es-SV"/>
        </w:rPr>
        <w:t>Renta bruta</w:t>
      </w:r>
      <w:bookmarkEnd w:id="2"/>
      <w:r w:rsidRPr="00DF4240">
        <w:rPr>
          <w:rFonts w:ascii="Arial Narrow" w:eastAsia="Times New Roman" w:hAnsi="Arial Narrow" w:cs="Arial"/>
          <w:color w:val="000000"/>
          <w:szCs w:val="20"/>
          <w:lang w:eastAsia="es-SV"/>
        </w:rPr>
        <w:t>: Son los ingresos que percibe un contribuyente-empresa, descontado el costo directo de los bienes y servicios que se requieran para su obtención.</w:t>
      </w:r>
    </w:p>
    <w:p w:rsidR="00DF4240" w:rsidRPr="00DF4240" w:rsidRDefault="00DF4240" w:rsidP="00DF4240">
      <w:pPr>
        <w:spacing w:before="100" w:beforeAutospacing="1" w:after="100" w:afterAutospacing="1" w:line="240" w:lineRule="auto"/>
        <w:rPr>
          <w:rFonts w:ascii="Arial Narrow" w:eastAsia="Times New Roman" w:hAnsi="Arial Narrow" w:cs="Arial"/>
          <w:color w:val="000000"/>
          <w:sz w:val="28"/>
          <w:szCs w:val="27"/>
          <w:lang w:eastAsia="es-SV"/>
        </w:rPr>
      </w:pPr>
      <w:bookmarkStart w:id="3" w:name="Renta_devengada"/>
      <w:r w:rsidRPr="00DF4240">
        <w:rPr>
          <w:rFonts w:ascii="Arial Narrow" w:eastAsia="Times New Roman" w:hAnsi="Arial Narrow" w:cs="Arial"/>
          <w:b/>
          <w:bCs/>
          <w:color w:val="000000"/>
          <w:szCs w:val="20"/>
          <w:lang w:eastAsia="es-SV"/>
        </w:rPr>
        <w:t>Renta devengada</w:t>
      </w:r>
      <w:bookmarkEnd w:id="3"/>
      <w:r w:rsidRPr="00DF4240">
        <w:rPr>
          <w:rFonts w:ascii="Arial Narrow" w:eastAsia="Times New Roman" w:hAnsi="Arial Narrow" w:cs="Arial"/>
          <w:color w:val="000000"/>
          <w:szCs w:val="20"/>
          <w:lang w:eastAsia="es-SV"/>
        </w:rPr>
        <w:t>: Corresponde a aquella renta sobre la cual se tiene un título o derecho, independientemente de su actual exigibilidad y de que constituya un crédito para su titular.</w:t>
      </w:r>
    </w:p>
    <w:p w:rsidR="00DF4240" w:rsidRPr="00DF4240" w:rsidRDefault="00DF4240" w:rsidP="00DF4240">
      <w:pPr>
        <w:spacing w:before="100" w:beforeAutospacing="1" w:after="100" w:afterAutospacing="1" w:line="240" w:lineRule="auto"/>
        <w:rPr>
          <w:rFonts w:ascii="Arial Narrow" w:eastAsia="Times New Roman" w:hAnsi="Arial Narrow" w:cs="Arial"/>
          <w:color w:val="000000"/>
          <w:sz w:val="28"/>
          <w:szCs w:val="27"/>
          <w:lang w:eastAsia="es-SV"/>
        </w:rPr>
      </w:pPr>
      <w:bookmarkStart w:id="4" w:name="Renta_exenta"/>
      <w:r w:rsidRPr="00DF4240">
        <w:rPr>
          <w:rFonts w:ascii="Arial Narrow" w:eastAsia="Times New Roman" w:hAnsi="Arial Narrow" w:cs="Arial"/>
          <w:b/>
          <w:bCs/>
          <w:color w:val="000000"/>
          <w:szCs w:val="20"/>
          <w:lang w:eastAsia="es-SV"/>
        </w:rPr>
        <w:t>Renta exenta</w:t>
      </w:r>
      <w:bookmarkEnd w:id="4"/>
      <w:r w:rsidRPr="00DF4240">
        <w:rPr>
          <w:rFonts w:ascii="Arial Narrow" w:eastAsia="Times New Roman" w:hAnsi="Arial Narrow" w:cs="Arial"/>
          <w:color w:val="000000"/>
          <w:szCs w:val="20"/>
          <w:lang w:eastAsia="es-SV"/>
        </w:rPr>
        <w:t>: Renta que no está afecta al pago de impuestos. La ley establece un nivel de renta bajo el cual las personas no tienen obligaciones tributarias, o determina que algunas rentas específicas no sean gravadas.</w:t>
      </w:r>
    </w:p>
    <w:p w:rsidR="00DF4240" w:rsidRPr="00DF4240" w:rsidRDefault="00DF4240" w:rsidP="00DF4240">
      <w:pPr>
        <w:spacing w:before="100" w:beforeAutospacing="1" w:after="100" w:afterAutospacing="1" w:line="240" w:lineRule="auto"/>
        <w:rPr>
          <w:rFonts w:ascii="Arial Narrow" w:eastAsia="Times New Roman" w:hAnsi="Arial Narrow" w:cs="Arial"/>
          <w:color w:val="000000"/>
          <w:sz w:val="28"/>
          <w:szCs w:val="27"/>
          <w:lang w:eastAsia="es-SV"/>
        </w:rPr>
      </w:pPr>
      <w:bookmarkStart w:id="5" w:name="Renta_imponible"/>
      <w:r w:rsidRPr="00DF4240">
        <w:rPr>
          <w:rFonts w:ascii="Arial Narrow" w:eastAsia="Times New Roman" w:hAnsi="Arial Narrow" w:cs="Arial"/>
          <w:b/>
          <w:bCs/>
          <w:color w:val="000000"/>
          <w:szCs w:val="20"/>
          <w:lang w:eastAsia="es-SV"/>
        </w:rPr>
        <w:t>Renta imponible</w:t>
      </w:r>
      <w:bookmarkEnd w:id="5"/>
      <w:r w:rsidRPr="00DF4240">
        <w:rPr>
          <w:rFonts w:ascii="Arial Narrow" w:eastAsia="Times New Roman" w:hAnsi="Arial Narrow" w:cs="Arial"/>
          <w:color w:val="000000"/>
          <w:szCs w:val="20"/>
          <w:lang w:eastAsia="es-SV"/>
        </w:rPr>
        <w:t>: Renta sobre la cual se calcula el monto que debe pagarse por concepto de impuestos y/o leyes sociales, como previsión y salud.</w:t>
      </w:r>
    </w:p>
    <w:p w:rsidR="00DF4240" w:rsidRPr="00DF4240" w:rsidRDefault="00DF4240" w:rsidP="00DF4240">
      <w:pPr>
        <w:jc w:val="both"/>
        <w:rPr>
          <w:rFonts w:ascii="Arial Narrow" w:hAnsi="Arial Narrow"/>
        </w:rPr>
      </w:pPr>
    </w:p>
    <w:p w:rsidR="00DF4240" w:rsidRPr="00DF4240" w:rsidRDefault="00DF4240" w:rsidP="00DF4240">
      <w:pPr>
        <w:jc w:val="both"/>
        <w:rPr>
          <w:rFonts w:ascii="Arial Narrow" w:hAnsi="Arial Narrow"/>
          <w:b/>
        </w:rPr>
      </w:pPr>
      <w:r w:rsidRPr="00DF4240">
        <w:rPr>
          <w:rFonts w:ascii="Arial Narrow" w:hAnsi="Arial Narrow"/>
          <w:b/>
        </w:rPr>
        <w:t>LEY DEL IMPUESTO SOBRE LA RENTA</w:t>
      </w:r>
    </w:p>
    <w:p w:rsidR="00DF4240" w:rsidRPr="00DF4240" w:rsidRDefault="00DF4240" w:rsidP="00DF4240">
      <w:pPr>
        <w:jc w:val="both"/>
        <w:rPr>
          <w:rFonts w:ascii="Arial Narrow" w:hAnsi="Arial Narrow"/>
        </w:rPr>
      </w:pPr>
      <w:r w:rsidRPr="00DF4240">
        <w:rPr>
          <w:rFonts w:ascii="Arial Narrow" w:hAnsi="Arial Narrow"/>
        </w:rPr>
        <w:t>El 19 de mayo de 1915, la Asamblea Nacional Legislativa, promulgo la primera Ley de Impuesto Sobre la Renta, tal como la conocemos hoy en día, es decir, estructurada como tal, como una ley dirigida a gravar los ingresos de una manera directa. Esta ley fue publicada en el Diario Oficial del 22 de mayo de ese mismo año.</w:t>
      </w:r>
    </w:p>
    <w:p w:rsidR="00DF4240" w:rsidRPr="00DF4240" w:rsidRDefault="00DF4240" w:rsidP="00DF4240">
      <w:pPr>
        <w:jc w:val="both"/>
        <w:rPr>
          <w:rFonts w:ascii="Arial Narrow" w:hAnsi="Arial Narrow"/>
        </w:rPr>
      </w:pPr>
      <w:r w:rsidRPr="00DF4240">
        <w:rPr>
          <w:rFonts w:ascii="Arial Narrow" w:hAnsi="Arial Narrow"/>
        </w:rPr>
        <w:t xml:space="preserve">Para efectos del impuesto sobre la renta si bien es cierto que en atención a su naturaleza y estructura jurídica, la obligación tributaria principal surge hasta que finaliza el ejercicio  impositivo o período de imposición puesto que es hasta entonces que surge el hecho  imponible; no obstante, ello no impide que se efectúen ingresos a cuenta de dicha obligación sea por el mecanismo de anticipo a cuenta o bien mediante el entero de retenciones soportadas por el sujeto pasivo. </w:t>
      </w:r>
    </w:p>
    <w:p w:rsidR="00DF4240" w:rsidRPr="00DF4240" w:rsidRDefault="00DF4240" w:rsidP="00DF4240">
      <w:pPr>
        <w:jc w:val="both"/>
        <w:rPr>
          <w:rFonts w:ascii="Arial Narrow" w:hAnsi="Arial Narrow"/>
          <w:b/>
        </w:rPr>
      </w:pPr>
      <w:r w:rsidRPr="00DF4240">
        <w:rPr>
          <w:rFonts w:ascii="Arial Narrow" w:hAnsi="Arial Narrow"/>
          <w:b/>
        </w:rPr>
        <w:t>RETENCIONES DEL IMPUESTO SOBRE LA RENTA</w:t>
      </w:r>
    </w:p>
    <w:p w:rsidR="00DF4240" w:rsidRPr="00DF4240" w:rsidRDefault="00DF4240" w:rsidP="00DF4240">
      <w:pPr>
        <w:jc w:val="both"/>
        <w:rPr>
          <w:rFonts w:ascii="Arial Narrow" w:hAnsi="Arial Narrow"/>
        </w:rPr>
      </w:pPr>
      <w:r w:rsidRPr="00DF4240">
        <w:rPr>
          <w:rFonts w:ascii="Arial Narrow" w:hAnsi="Arial Narrow"/>
        </w:rPr>
        <w:t xml:space="preserve">En un principio la Ley del Impuesto Sobre la Renta contenía disposiciones que regulaban las retenciones siguientes: retención por servicio de carácter permanente, retención por prestación de servicio, retención en caso de juicio ejecutivo, retención a personas naturales y otros sujetos de impuesto no domiciliados, retención personas jurídicas no domiciliadas, retención a rentas provenientes de depósito y retención sobre premios, las cuales fueron derogadas y retomadas por el Código Tributario el cual fue creado por la Asamblea Legislativa de la República de El Salvador, según Decreto Legislativo No. 230, en San Salvador, a los catorce días del </w:t>
      </w:r>
      <w:r w:rsidRPr="00DF4240">
        <w:rPr>
          <w:rFonts w:ascii="Arial Narrow" w:hAnsi="Arial Narrow"/>
        </w:rPr>
        <w:lastRenderedPageBreak/>
        <w:t>mes de diciembre del año dos mil, publicado en el Diario 2 Oficial N° 241, entrando en vigencia su aplicación a partir del uno de enero del año dos mil uno.</w:t>
      </w:r>
    </w:p>
    <w:p w:rsidR="00DF4240" w:rsidRPr="00DF4240" w:rsidRDefault="00DF4240" w:rsidP="00DF4240">
      <w:pPr>
        <w:jc w:val="both"/>
        <w:rPr>
          <w:rFonts w:ascii="Arial Narrow" w:hAnsi="Arial Narrow"/>
          <w:b/>
        </w:rPr>
      </w:pPr>
      <w:r w:rsidRPr="00DF4240">
        <w:rPr>
          <w:rFonts w:ascii="Arial Narrow" w:hAnsi="Arial Narrow"/>
          <w:b/>
        </w:rPr>
        <w:t>CONCEPTO DE RETENCIÓN</w:t>
      </w:r>
    </w:p>
    <w:p w:rsidR="00DF4240" w:rsidRPr="00DF4240" w:rsidRDefault="00DF4240" w:rsidP="00DF4240">
      <w:pPr>
        <w:jc w:val="both"/>
        <w:rPr>
          <w:rFonts w:ascii="Arial Narrow" w:hAnsi="Arial Narrow"/>
        </w:rPr>
      </w:pPr>
      <w:r w:rsidRPr="00DF4240">
        <w:rPr>
          <w:rFonts w:ascii="Arial Narrow" w:hAnsi="Arial Narrow"/>
        </w:rPr>
        <w:t>La retención es un mecanismo de cobro anticipado de un Impuesto en el momento en que sucede el hecho generador, el cual se puede descontar en la respectiva declaración</w:t>
      </w:r>
    </w:p>
    <w:p w:rsidR="00DF4240" w:rsidRPr="00DF4240" w:rsidRDefault="00DF4240" w:rsidP="00DF4240">
      <w:pPr>
        <w:jc w:val="both"/>
        <w:rPr>
          <w:rFonts w:ascii="Arial Narrow" w:hAnsi="Arial Narrow"/>
          <w:b/>
        </w:rPr>
      </w:pPr>
      <w:r w:rsidRPr="00DF4240">
        <w:rPr>
          <w:rFonts w:ascii="Arial Narrow" w:hAnsi="Arial Narrow"/>
          <w:b/>
        </w:rPr>
        <w:t>AGENTES DE RETENCION</w:t>
      </w:r>
    </w:p>
    <w:p w:rsidR="00DF4240" w:rsidRPr="00DF4240" w:rsidRDefault="00DF4240" w:rsidP="00DF4240">
      <w:pPr>
        <w:jc w:val="both"/>
        <w:rPr>
          <w:rFonts w:ascii="Arial Narrow" w:hAnsi="Arial Narrow"/>
        </w:rPr>
      </w:pPr>
      <w:r w:rsidRPr="00DF4240">
        <w:rPr>
          <w:rFonts w:ascii="Arial Narrow" w:hAnsi="Arial Narrow"/>
        </w:rPr>
        <w:t>De acuerdo al artículo 154 del Código Tributario y artículo 98 de su respectivo reglamento, son agentes de retención aquellos sujetos obligados a retener una parte de las rentas que paguen o acrediten a otros sujetos, o que sean designados por la Administración Tributaria para actuar como tal, para lo cual dicha designación se realizará en forma escrita conteniendo el nombre completo, Número de Identificación Tributaria, monto del adeudo principal y multas por infracciones cometidas y la cantidad que deberá retener y desde cuándo.</w:t>
      </w:r>
    </w:p>
    <w:p w:rsidR="00DF4240" w:rsidRPr="00DF4240" w:rsidRDefault="00DF4240" w:rsidP="00DF4240">
      <w:pPr>
        <w:jc w:val="both"/>
        <w:rPr>
          <w:rFonts w:ascii="Arial Narrow" w:hAnsi="Arial Narrow"/>
          <w:b/>
        </w:rPr>
      </w:pPr>
      <w:r w:rsidRPr="00DF4240">
        <w:rPr>
          <w:rFonts w:ascii="Arial Narrow" w:hAnsi="Arial Narrow"/>
          <w:b/>
        </w:rPr>
        <w:t>MOMENTO DE EFECTUAR LA RETENCIÓN</w:t>
      </w:r>
    </w:p>
    <w:p w:rsidR="00DF4240" w:rsidRPr="00DF4240" w:rsidRDefault="00DF4240" w:rsidP="00DF4240">
      <w:pPr>
        <w:jc w:val="both"/>
        <w:rPr>
          <w:rFonts w:ascii="Arial Narrow" w:hAnsi="Arial Narrow"/>
        </w:rPr>
      </w:pPr>
      <w:r w:rsidRPr="00DF4240">
        <w:rPr>
          <w:rFonts w:ascii="Arial Narrow" w:hAnsi="Arial Narrow"/>
        </w:rPr>
        <w:t xml:space="preserve">La retención se efectuará en todo caso en el momento de hacerse el pago en cualquiera de sus formas o de acreditarse la renta o en el momento de entregarse el premio. Cuando el pago se haga por operaciones contables se tendrá como fecha de pago la de la contabilización respectiva. </w:t>
      </w:r>
    </w:p>
    <w:p w:rsidR="00DF4240" w:rsidRPr="00DF4240" w:rsidRDefault="00DF4240" w:rsidP="00DF4240">
      <w:pPr>
        <w:jc w:val="both"/>
        <w:rPr>
          <w:rFonts w:ascii="Arial Narrow" w:hAnsi="Arial Narrow"/>
          <w:b/>
        </w:rPr>
      </w:pPr>
      <w:r w:rsidRPr="00DF4240">
        <w:rPr>
          <w:rFonts w:ascii="Arial Narrow" w:hAnsi="Arial Narrow"/>
          <w:b/>
        </w:rPr>
        <w:t>SERVICIOS DE CARÁCTER PERMANENTE</w:t>
      </w:r>
    </w:p>
    <w:p w:rsidR="005F7B03" w:rsidRDefault="00DF4240" w:rsidP="00DF4240">
      <w:pPr>
        <w:jc w:val="both"/>
        <w:rPr>
          <w:rFonts w:ascii="Arial Narrow" w:hAnsi="Arial Narrow"/>
        </w:rPr>
      </w:pPr>
      <w:r w:rsidRPr="00DF4240">
        <w:rPr>
          <w:rFonts w:ascii="Arial Narrow" w:hAnsi="Arial Narrow"/>
        </w:rPr>
        <w:t>Se consideran servicios de carácter permanente, aquellos cuya prestación es regulada por la Ley Laboral y su remuneración es el devengo de salarios, sueldos, sobresueldos, horas extras, primas, comisiones, gratificaciones, bonificaciones, aguinaldos y cualquier otra compensación por servicios personales, ya sean que estos se paguen en efectivo o en especie y en donde la prestación de servicios es por tiempo indefinido o bien cuando dichos servicios se contraten por un plazo determinado sea a ti</w:t>
      </w:r>
      <w:r w:rsidR="002A04A0">
        <w:rPr>
          <w:rFonts w:ascii="Arial Narrow" w:hAnsi="Arial Narrow"/>
        </w:rPr>
        <w:t xml:space="preserve">empo completo, medio tiempo o </w:t>
      </w:r>
      <w:r w:rsidRPr="00DF4240">
        <w:rPr>
          <w:rFonts w:ascii="Arial Narrow" w:hAnsi="Arial Narrow"/>
        </w:rPr>
        <w:t xml:space="preserve">tiempo parcial con carácter de subordinación o dependencia. </w:t>
      </w:r>
    </w:p>
    <w:p w:rsidR="002A04A0" w:rsidRPr="002A04A0" w:rsidRDefault="002A04A0" w:rsidP="002A04A0">
      <w:pPr>
        <w:jc w:val="both"/>
        <w:rPr>
          <w:rFonts w:ascii="Arial Narrow" w:hAnsi="Arial Narrow"/>
        </w:rPr>
      </w:pPr>
      <w:r>
        <w:rPr>
          <w:rFonts w:ascii="Arial Narrow" w:hAnsi="Arial Narrow"/>
        </w:rPr>
        <w:t xml:space="preserve">La ley maneja que los sujetos domiciliados </w:t>
      </w:r>
      <w:r w:rsidRPr="002A04A0">
        <w:rPr>
          <w:rFonts w:ascii="Arial Narrow" w:hAnsi="Arial Narrow"/>
        </w:rPr>
        <w:t>Además de aquellos que de conformidad al derecho común tengan su domicilio en El Salvador, se consideran domiciliados para los efectos de esta ley, toda persona natural, fideicomiso o sucesión, nacional o extranjera, que se encuentre en cualquiera de las situaciones siguientes:</w:t>
      </w:r>
    </w:p>
    <w:p w:rsidR="002A04A0" w:rsidRPr="002A04A0" w:rsidRDefault="002A04A0" w:rsidP="002A04A0">
      <w:pPr>
        <w:jc w:val="both"/>
        <w:rPr>
          <w:rFonts w:ascii="Arial Narrow" w:hAnsi="Arial Narrow"/>
        </w:rPr>
      </w:pPr>
      <w:r>
        <w:rPr>
          <w:rFonts w:ascii="Arial Narrow" w:hAnsi="Arial Narrow"/>
        </w:rPr>
        <w:t>-</w:t>
      </w:r>
      <w:r w:rsidRPr="002A04A0">
        <w:rPr>
          <w:rFonts w:ascii="Arial Narrow" w:hAnsi="Arial Narrow"/>
        </w:rPr>
        <w:t>Las personas naturales, que residan de manera temporal o definitiva en el país, más de doscientos días durante el ejercicio de imposición.</w:t>
      </w:r>
    </w:p>
    <w:p w:rsidR="00DF4240" w:rsidRDefault="002A04A0" w:rsidP="002A04A0">
      <w:pPr>
        <w:jc w:val="both"/>
        <w:rPr>
          <w:rFonts w:ascii="Arial Narrow" w:hAnsi="Arial Narrow"/>
        </w:rPr>
      </w:pPr>
      <w:r>
        <w:rPr>
          <w:rFonts w:ascii="Arial Narrow" w:hAnsi="Arial Narrow"/>
        </w:rPr>
        <w:t>-</w:t>
      </w:r>
      <w:r w:rsidRPr="002A04A0">
        <w:rPr>
          <w:rFonts w:ascii="Arial Narrow" w:hAnsi="Arial Narrow"/>
        </w:rPr>
        <w:t>Las personas que hayan sido consideradas como domiciliadas durante más de un ejercicio consecutivo, podrán ausentarse del país hasta por ciento sesenta y cinco</w:t>
      </w:r>
      <w:r>
        <w:rPr>
          <w:rFonts w:ascii="Arial Narrow" w:hAnsi="Arial Narrow"/>
        </w:rPr>
        <w:t>.</w:t>
      </w:r>
    </w:p>
    <w:p w:rsidR="002A04A0" w:rsidRDefault="002A04A0" w:rsidP="002A04A0">
      <w:pPr>
        <w:jc w:val="both"/>
        <w:rPr>
          <w:rFonts w:ascii="Arial Narrow" w:hAnsi="Arial Narrow"/>
        </w:rPr>
      </w:pPr>
      <w:r w:rsidRPr="002A04A0">
        <w:rPr>
          <w:rFonts w:ascii="Arial Narrow" w:hAnsi="Arial Narrow"/>
        </w:rPr>
        <w:t>Sujetos no domiciliados</w:t>
      </w:r>
      <w:r>
        <w:rPr>
          <w:rFonts w:ascii="Arial Narrow" w:hAnsi="Arial Narrow"/>
        </w:rPr>
        <w:t xml:space="preserve">: aquellos que se </w:t>
      </w:r>
      <w:r w:rsidRPr="002A04A0">
        <w:rPr>
          <w:rFonts w:ascii="Arial Narrow" w:hAnsi="Arial Narrow"/>
        </w:rPr>
        <w:t>consideran no domiciliados, para los efectos de esta ley, las personas naturales, fideicomisos, sucesiones y conjuntos culturales, artístico</w:t>
      </w:r>
      <w:r>
        <w:rPr>
          <w:rFonts w:ascii="Arial Narrow" w:hAnsi="Arial Narrow"/>
        </w:rPr>
        <w:t>s, deportivos y similares que no hayan estado presentes en el ejercicio impositivo del año corriente.</w:t>
      </w:r>
    </w:p>
    <w:p w:rsidR="002A04A0" w:rsidRPr="00DF4240" w:rsidRDefault="002A04A0" w:rsidP="002A04A0">
      <w:pPr>
        <w:jc w:val="both"/>
        <w:rPr>
          <w:rFonts w:ascii="Arial Narrow" w:hAnsi="Arial Narrow"/>
        </w:rPr>
      </w:pPr>
    </w:p>
    <w:sectPr w:rsidR="002A04A0" w:rsidRPr="00DF4240" w:rsidSect="00DF4240">
      <w:pgSz w:w="12240" w:h="15840"/>
      <w:pgMar w:top="1417" w:right="1701" w:bottom="1417" w:left="1701" w:header="708" w:footer="708" w:gutter="0"/>
      <w:pgBorders w:offsetFrom="page">
        <w:top w:val="single" w:sz="18" w:space="24" w:color="auto"/>
        <w:left w:val="single" w:sz="18" w:space="24" w:color="auto"/>
        <w:bottom w:val="single" w:sz="18" w:space="24" w:color="auto"/>
        <w:right w:val="single" w:sz="18"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3B365B"/>
    <w:multiLevelType w:val="hybridMultilevel"/>
    <w:tmpl w:val="007E59AA"/>
    <w:lvl w:ilvl="0" w:tplc="440A000F">
      <w:start w:val="1"/>
      <w:numFmt w:val="decimal"/>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DF4240"/>
    <w:rsid w:val="002A04A0"/>
    <w:rsid w:val="005F7B03"/>
    <w:rsid w:val="00DF4240"/>
  </w:rsids>
  <m:mathPr>
    <m:mathFont m:val="Cambria Math"/>
    <m:brkBin m:val="before"/>
    <m:brkBinSub m:val="--"/>
    <m:smallFrac m:val="off"/>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4240"/>
    <w:pPr>
      <w:spacing w:after="160" w:line="25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F4240"/>
    <w:pPr>
      <w:ind w:left="720"/>
      <w:contextualSpacing/>
    </w:pPr>
  </w:style>
</w:styles>
</file>

<file path=word/webSettings.xml><?xml version="1.0" encoding="utf-8"?>
<w:webSettings xmlns:r="http://schemas.openxmlformats.org/officeDocument/2006/relationships" xmlns:w="http://schemas.openxmlformats.org/wordprocessingml/2006/main">
  <w:divs>
    <w:div w:id="119148189">
      <w:bodyDiv w:val="1"/>
      <w:marLeft w:val="0"/>
      <w:marRight w:val="0"/>
      <w:marTop w:val="0"/>
      <w:marBottom w:val="0"/>
      <w:divBdr>
        <w:top w:val="none" w:sz="0" w:space="0" w:color="auto"/>
        <w:left w:val="none" w:sz="0" w:space="0" w:color="auto"/>
        <w:bottom w:val="none" w:sz="0" w:space="0" w:color="auto"/>
        <w:right w:val="none" w:sz="0" w:space="0" w:color="auto"/>
      </w:divBdr>
    </w:div>
    <w:div w:id="754278999">
      <w:bodyDiv w:val="1"/>
      <w:marLeft w:val="0"/>
      <w:marRight w:val="0"/>
      <w:marTop w:val="0"/>
      <w:marBottom w:val="0"/>
      <w:divBdr>
        <w:top w:val="none" w:sz="0" w:space="0" w:color="auto"/>
        <w:left w:val="none" w:sz="0" w:space="0" w:color="auto"/>
        <w:bottom w:val="none" w:sz="0" w:space="0" w:color="auto"/>
        <w:right w:val="none" w:sz="0" w:space="0" w:color="auto"/>
      </w:divBdr>
      <w:divsChild>
        <w:div w:id="512232667">
          <w:blockQuote w:val="1"/>
          <w:marLeft w:val="0"/>
          <w:marRight w:val="0"/>
          <w:marTop w:val="204"/>
          <w:marBottom w:val="204"/>
          <w:divBdr>
            <w:top w:val="single" w:sz="6" w:space="7" w:color="E5E5E5"/>
            <w:left w:val="single" w:sz="6" w:space="14" w:color="E5E5E5"/>
            <w:bottom w:val="single" w:sz="6" w:space="7" w:color="E5E5E5"/>
            <w:right w:val="single" w:sz="6" w:space="14" w:color="E5E5E5"/>
          </w:divBdr>
        </w:div>
      </w:divsChild>
    </w:div>
    <w:div w:id="1421681266">
      <w:bodyDiv w:val="1"/>
      <w:marLeft w:val="0"/>
      <w:marRight w:val="0"/>
      <w:marTop w:val="0"/>
      <w:marBottom w:val="0"/>
      <w:divBdr>
        <w:top w:val="none" w:sz="0" w:space="0" w:color="auto"/>
        <w:left w:val="none" w:sz="0" w:space="0" w:color="auto"/>
        <w:bottom w:val="none" w:sz="0" w:space="0" w:color="auto"/>
        <w:right w:val="none" w:sz="0" w:space="0" w:color="auto"/>
      </w:divBdr>
      <w:divsChild>
        <w:div w:id="613026469">
          <w:blockQuote w:val="1"/>
          <w:marLeft w:val="0"/>
          <w:marRight w:val="0"/>
          <w:marTop w:val="204"/>
          <w:marBottom w:val="204"/>
          <w:divBdr>
            <w:top w:val="single" w:sz="6" w:space="7" w:color="E5E5E5"/>
            <w:left w:val="single" w:sz="6" w:space="14" w:color="E5E5E5"/>
            <w:bottom w:val="single" w:sz="6" w:space="7" w:color="E5E5E5"/>
            <w:right w:val="single" w:sz="6" w:space="14" w:color="E5E5E5"/>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888</Words>
  <Characters>4885</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computod@s</dc:creator>
  <cp:lastModifiedBy>computod@s</cp:lastModifiedBy>
  <cp:revision>1</cp:revision>
  <dcterms:created xsi:type="dcterms:W3CDTF">2013-10-11T17:19:00Z</dcterms:created>
  <dcterms:modified xsi:type="dcterms:W3CDTF">2013-10-11T17:35:00Z</dcterms:modified>
</cp:coreProperties>
</file>