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9FF" w:rsidRDefault="005B09FF" w:rsidP="005B09FF">
      <w:pPr>
        <w:jc w:val="center"/>
        <w:rPr>
          <w:lang w:val="es-SV"/>
        </w:rPr>
      </w:pPr>
      <w:r>
        <w:rPr>
          <w:lang w:val="es-SV"/>
        </w:rPr>
        <w:t>Ley de Renta</w:t>
      </w:r>
    </w:p>
    <w:p w:rsidR="005B09FF" w:rsidRDefault="005B09FF" w:rsidP="005B09FF">
      <w:pPr>
        <w:jc w:val="both"/>
        <w:rPr>
          <w:lang w:val="es-SV"/>
        </w:rPr>
      </w:pPr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left:0;text-align:left;margin-left:307.2pt;margin-top:413.85pt;width:33.75pt;height:26.85pt;z-index:251682816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47" style="position:absolute;left:0;text-align:left;margin-left:271.4pt;margin-top:440.7pt;width:172.25pt;height:114.2pt;z-index:251681792" arcsize="10923f">
            <v:textbox>
              <w:txbxContent>
                <w:p w:rsidR="005B09FF" w:rsidRPr="00DA4818" w:rsidRDefault="005B09FF" w:rsidP="005B09FF">
                  <w:pPr>
                    <w:pStyle w:val="Default"/>
                    <w:numPr>
                      <w:ilvl w:val="0"/>
                      <w:numId w:val="3"/>
                    </w:numPr>
                    <w:spacing w:after="200"/>
                    <w:jc w:val="both"/>
                    <w:rPr>
                      <w:bCs/>
                      <w:sz w:val="16"/>
                      <w:szCs w:val="16"/>
                    </w:rPr>
                  </w:pPr>
                  <w:r w:rsidRPr="00DA4818">
                    <w:rPr>
                      <w:bCs/>
                      <w:sz w:val="16"/>
                      <w:szCs w:val="16"/>
                    </w:rPr>
                    <w:t xml:space="preserve">El Estado de El Salvador; </w:t>
                  </w:r>
                </w:p>
                <w:p w:rsidR="005B09FF" w:rsidRPr="00DA4818" w:rsidRDefault="005B09FF" w:rsidP="005B09FF">
                  <w:pPr>
                    <w:pStyle w:val="Default"/>
                    <w:numPr>
                      <w:ilvl w:val="0"/>
                      <w:numId w:val="3"/>
                    </w:numPr>
                    <w:tabs>
                      <w:tab w:val="left" w:pos="709"/>
                    </w:tabs>
                    <w:spacing w:before="100" w:after="200"/>
                    <w:jc w:val="both"/>
                    <w:rPr>
                      <w:bCs/>
                      <w:sz w:val="16"/>
                      <w:szCs w:val="16"/>
                    </w:rPr>
                  </w:pPr>
                  <w:r w:rsidRPr="00DA4818">
                    <w:rPr>
                      <w:bCs/>
                      <w:sz w:val="16"/>
                      <w:szCs w:val="16"/>
                    </w:rPr>
                    <w:t xml:space="preserve"> Las Municipalidades; y </w:t>
                  </w:r>
                </w:p>
                <w:p w:rsidR="005B09FF" w:rsidRPr="00DA4818" w:rsidRDefault="005B09FF" w:rsidP="005B09FF">
                  <w:pPr>
                    <w:pStyle w:val="Default"/>
                    <w:numPr>
                      <w:ilvl w:val="0"/>
                      <w:numId w:val="3"/>
                    </w:numPr>
                    <w:spacing w:before="100" w:after="200"/>
                    <w:jc w:val="both"/>
                    <w:rPr>
                      <w:bCs/>
                      <w:sz w:val="16"/>
                      <w:szCs w:val="16"/>
                    </w:rPr>
                  </w:pPr>
                  <w:r w:rsidRPr="00DA4818">
                    <w:rPr>
                      <w:bCs/>
                      <w:sz w:val="16"/>
                      <w:szCs w:val="16"/>
                    </w:rPr>
                    <w:t xml:space="preserve">Las corporaciones y fundaciones de derecho público y las corporaciones y fundaciones de utilidad pública. </w:t>
                  </w:r>
                </w:p>
                <w:p w:rsidR="005B09FF" w:rsidRPr="00DA4818" w:rsidRDefault="005B09FF" w:rsidP="005B09FF">
                  <w:pPr>
                    <w:jc w:val="center"/>
                  </w:pP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46" type="#_x0000_t32" style="position:absolute;left:0;text-align:left;margin-left:296.45pt;margin-top:347.5pt;width:67pt;height:40.85pt;flip:x;z-index:251680768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45" style="position:absolute;left:0;text-align:left;margin-left:259.4pt;margin-top:388.35pt;width:81.55pt;height:25.5pt;z-index:251679744" arcsize="10923f">
            <v:textbox>
              <w:txbxContent>
                <w:p w:rsidR="005B09FF" w:rsidRPr="00E913A3" w:rsidRDefault="005B09FF" w:rsidP="005B09FF">
                  <w:pPr>
                    <w:jc w:val="center"/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Excluidos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44" type="#_x0000_t32" style="position:absolute;left:0;text-align:left;margin-left:393.15pt;margin-top:347.5pt;width:1.1pt;height:23.45pt;z-index:251678720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43" type="#_x0000_t32" style="position:absolute;left:0;text-align:left;margin-left:316.75pt;margin-top:335.7pt;width:39.2pt;height:0;z-index:251677696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41" style="position:absolute;left:0;text-align:left;margin-left:355.95pt;margin-top:370.95pt;width:81.55pt;height:25.5pt;z-index:251675648" arcsize="10923f">
            <v:textbox>
              <w:txbxContent>
                <w:p w:rsidR="005B09FF" w:rsidRPr="00E913A3" w:rsidRDefault="005B09FF" w:rsidP="005B09FF">
                  <w:pPr>
                    <w:jc w:val="center"/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Contribuyente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2" style="position:absolute;left:0;text-align:left;margin-left:355.95pt;margin-top:322pt;width:81.55pt;height:25.5pt;z-index:251676672" arcsize="10923f">
            <v:textbox>
              <w:txbxContent>
                <w:p w:rsidR="005B09FF" w:rsidRPr="00E913A3" w:rsidRDefault="005B09FF" w:rsidP="005B09FF">
                  <w:pPr>
                    <w:jc w:val="center"/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Sujeto pasivo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0" style="position:absolute;left:0;text-align:left;margin-left:235.2pt;margin-top:322pt;width:81.55pt;height:25.5pt;z-index:251674624" arcsize="10923f">
            <v:textbox>
              <w:txbxContent>
                <w:p w:rsidR="005B09FF" w:rsidRPr="00E913A3" w:rsidRDefault="005B09FF" w:rsidP="005B09FF">
                  <w:pPr>
                    <w:jc w:val="center"/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Sujetos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39" type="#_x0000_t32" style="position:absolute;left:0;text-align:left;margin-left:67.95pt;margin-top:396.45pt;width:0;height:44.25pt;z-index:251673600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38" style="position:absolute;left:0;text-align:left;margin-left:-22.8pt;margin-top:440.7pt;width:246.75pt;height:229.5pt;z-index:251672576" arcsize="10923f">
            <v:textbox>
              <w:txbxContent>
                <w:p w:rsidR="005B09FF" w:rsidRPr="00DA4818" w:rsidRDefault="005B09FF" w:rsidP="005B09FF">
                  <w:pPr>
                    <w:pStyle w:val="Prrafodelista"/>
                    <w:numPr>
                      <w:ilvl w:val="0"/>
                      <w:numId w:val="2"/>
                    </w:numPr>
                    <w:rPr>
                      <w:rFonts w:ascii="Tahoma" w:hAnsi="Tahoma" w:cs="Tahoma"/>
                      <w:bCs/>
                      <w:color w:val="000000"/>
                      <w:sz w:val="14"/>
                      <w:szCs w:val="14"/>
                    </w:rPr>
                  </w:pPr>
                  <w:r w:rsidRPr="00DA4818">
                    <w:rPr>
                      <w:rFonts w:ascii="Tahoma" w:hAnsi="Tahoma" w:cs="Tahoma"/>
                      <w:bCs/>
                      <w:color w:val="000000"/>
                      <w:sz w:val="14"/>
                      <w:szCs w:val="14"/>
                    </w:rPr>
                    <w:t>Las que por Decreto Legislativo resulten no gravadas</w:t>
                  </w:r>
                </w:p>
                <w:p w:rsidR="005B09FF" w:rsidRPr="00DA4818" w:rsidRDefault="005B09FF" w:rsidP="005B09FF">
                  <w:pPr>
                    <w:pStyle w:val="Default"/>
                    <w:numPr>
                      <w:ilvl w:val="0"/>
                      <w:numId w:val="2"/>
                    </w:numPr>
                    <w:spacing w:before="100" w:after="200"/>
                    <w:jc w:val="both"/>
                    <w:rPr>
                      <w:sz w:val="14"/>
                      <w:szCs w:val="14"/>
                    </w:rPr>
                  </w:pPr>
                  <w:r w:rsidRPr="00DA4818">
                    <w:rPr>
                      <w:bCs/>
                      <w:sz w:val="14"/>
                      <w:szCs w:val="14"/>
                    </w:rPr>
                    <w:t xml:space="preserve">Las remuneraciones, compensaciones y gastos de representación percibidos en el desempeño de sus funciones </w:t>
                  </w:r>
                </w:p>
                <w:p w:rsidR="005B09FF" w:rsidRPr="00DA4818" w:rsidRDefault="005B09FF" w:rsidP="005B09FF">
                  <w:pPr>
                    <w:pStyle w:val="Default"/>
                    <w:numPr>
                      <w:ilvl w:val="0"/>
                      <w:numId w:val="2"/>
                    </w:numPr>
                    <w:spacing w:before="100" w:after="200"/>
                    <w:jc w:val="both"/>
                    <w:rPr>
                      <w:sz w:val="14"/>
                      <w:szCs w:val="14"/>
                    </w:rPr>
                  </w:pPr>
                  <w:r w:rsidRPr="00DA4818">
                    <w:rPr>
                      <w:bCs/>
                      <w:sz w:val="14"/>
                      <w:szCs w:val="14"/>
                    </w:rPr>
                    <w:t xml:space="preserve">Las indemnizaciones que en forma de capital o renta se perciben por causa de muerte, incapacidad, accidente o enfermedad, y que sean otorgados por vía judicial o por convenio privado. </w:t>
                  </w:r>
                </w:p>
                <w:p w:rsidR="005B09FF" w:rsidRPr="00DA4818" w:rsidRDefault="005B09FF" w:rsidP="005B09FF">
                  <w:pPr>
                    <w:pStyle w:val="Default"/>
                    <w:numPr>
                      <w:ilvl w:val="0"/>
                      <w:numId w:val="2"/>
                    </w:numPr>
                    <w:spacing w:before="240"/>
                    <w:jc w:val="both"/>
                    <w:rPr>
                      <w:sz w:val="14"/>
                      <w:szCs w:val="14"/>
                    </w:rPr>
                  </w:pPr>
                  <w:r w:rsidRPr="00DA4818">
                    <w:rPr>
                      <w:bCs/>
                      <w:sz w:val="14"/>
                      <w:szCs w:val="14"/>
                    </w:rPr>
                    <w:t xml:space="preserve">Las remuneraciones, compensaciones y gastos de representación percibidos en el desempeño de sus funciones </w:t>
                  </w:r>
                </w:p>
                <w:p w:rsidR="005B09FF" w:rsidRPr="00DA4818" w:rsidRDefault="005B09FF" w:rsidP="005B09FF">
                  <w:pPr>
                    <w:pStyle w:val="Default"/>
                    <w:numPr>
                      <w:ilvl w:val="0"/>
                      <w:numId w:val="2"/>
                    </w:numPr>
                    <w:spacing w:before="240" w:after="100"/>
                    <w:jc w:val="both"/>
                    <w:rPr>
                      <w:sz w:val="14"/>
                      <w:szCs w:val="14"/>
                    </w:rPr>
                  </w:pPr>
                  <w:r w:rsidRPr="00DA4818">
                    <w:rPr>
                      <w:bCs/>
                      <w:sz w:val="14"/>
                      <w:szCs w:val="14"/>
                    </w:rPr>
                    <w:t>Los intereses, premios y otras utilidades que provengan directamente de los depósitos en bancos y en asociaciones financieras…</w:t>
                  </w:r>
                </w:p>
                <w:p w:rsidR="005B09FF" w:rsidRPr="00DA4818" w:rsidRDefault="005B09FF" w:rsidP="005B09FF">
                  <w:pPr>
                    <w:pStyle w:val="Default"/>
                    <w:numPr>
                      <w:ilvl w:val="0"/>
                      <w:numId w:val="2"/>
                    </w:numPr>
                    <w:spacing w:before="240" w:after="100"/>
                    <w:jc w:val="both"/>
                    <w:rPr>
                      <w:sz w:val="14"/>
                      <w:szCs w:val="14"/>
                    </w:rPr>
                  </w:pPr>
                  <w:r w:rsidRPr="00DA4818">
                    <w:rPr>
                      <w:bCs/>
                      <w:sz w:val="14"/>
                      <w:szCs w:val="14"/>
                    </w:rPr>
                    <w:t xml:space="preserve">El valor del arrendamiento que produciría la casa de habitación del contribuyente </w:t>
                  </w:r>
                </w:p>
                <w:p w:rsidR="005B09FF" w:rsidRPr="00010B77" w:rsidRDefault="005B09FF" w:rsidP="005B09FF">
                  <w:pPr>
                    <w:pStyle w:val="Default"/>
                    <w:ind w:left="720"/>
                    <w:jc w:val="both"/>
                    <w:rPr>
                      <w:sz w:val="16"/>
                      <w:szCs w:val="16"/>
                    </w:rPr>
                  </w:pPr>
                </w:p>
                <w:p w:rsidR="005B09FF" w:rsidRPr="00010B77" w:rsidRDefault="005B09FF" w:rsidP="005B09FF">
                  <w:pPr>
                    <w:pStyle w:val="Default"/>
                    <w:spacing w:before="100" w:after="200"/>
                    <w:ind w:left="360"/>
                    <w:jc w:val="both"/>
                    <w:rPr>
                      <w:sz w:val="16"/>
                      <w:szCs w:val="16"/>
                    </w:rPr>
                  </w:pPr>
                </w:p>
                <w:p w:rsidR="005B09FF" w:rsidRPr="00010B77" w:rsidRDefault="005B09FF" w:rsidP="005B09FF">
                  <w:pPr>
                    <w:pStyle w:val="Prrafodelista"/>
                    <w:rPr>
                      <w:sz w:val="16"/>
                      <w:szCs w:val="16"/>
                    </w:rPr>
                  </w:pPr>
                </w:p>
                <w:p w:rsidR="005B09FF" w:rsidRPr="00010B77" w:rsidRDefault="005B09FF" w:rsidP="005B09FF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5" style="position:absolute;left:0;text-align:left;margin-left:-22.8pt;margin-top:223.95pt;width:186.75pt;height:111.75pt;z-index:251669504" arcsize="10923f">
            <v:textbox>
              <w:txbxContent>
                <w:p w:rsidR="005B09FF" w:rsidRPr="007A60F7" w:rsidRDefault="005B09FF" w:rsidP="005B09FF">
                  <w:pPr>
                    <w:pStyle w:val="Default"/>
                    <w:rPr>
                      <w:sz w:val="16"/>
                      <w:szCs w:val="16"/>
                    </w:rPr>
                  </w:pPr>
                </w:p>
                <w:p w:rsidR="005B09FF" w:rsidRPr="007A60F7" w:rsidRDefault="005B09FF" w:rsidP="005B09FF">
                  <w:pPr>
                    <w:pStyle w:val="Default"/>
                    <w:rPr>
                      <w:sz w:val="16"/>
                      <w:szCs w:val="16"/>
                    </w:rPr>
                  </w:pPr>
                  <w:r w:rsidRPr="007A60F7">
                    <w:rPr>
                      <w:bCs/>
                      <w:sz w:val="16"/>
                      <w:szCs w:val="16"/>
                    </w:rPr>
                    <w:t xml:space="preserve">viáticos para transporte, alimentación y estadía en una cuantía razonable, herramientas de trabajo, uniformes, equipo de oficina, siempre que las actividades a las que se destinen dichos valores o bienes sean necesarios para la producción de la renta del patrono o para conservación de la fuente de dichas rentas. </w:t>
                  </w:r>
                </w:p>
                <w:p w:rsidR="005B09FF" w:rsidRPr="007A60F7" w:rsidRDefault="005B09FF" w:rsidP="005B09FF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7" style="position:absolute;left:0;text-align:left;margin-left:7.95pt;margin-top:365.7pt;width:116.25pt;height:30.75pt;z-index:251671552" arcsize="10923f">
            <v:textbox>
              <w:txbxContent>
                <w:p w:rsidR="005B09FF" w:rsidRPr="007A60F7" w:rsidRDefault="005B09FF" w:rsidP="005B09FF">
                  <w:pPr>
                    <w:rPr>
                      <w:lang w:val="es-SV"/>
                    </w:rPr>
                  </w:pPr>
                  <w:r w:rsidRPr="007A60F7">
                    <w:rPr>
                      <w:bCs/>
                    </w:rPr>
                    <w:t>Rentas no gravables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36" type="#_x0000_t32" style="position:absolute;left:0;text-align:left;margin-left:67.95pt;margin-top:198.45pt;width:0;height:25.5pt;z-index:251670528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34" style="position:absolute;left:0;text-align:left;margin-left:7.95pt;margin-top:157.95pt;width:116.25pt;height:40.5pt;z-index:251668480" arcsize="10923f">
            <v:textbox>
              <w:txbxContent>
                <w:p w:rsidR="005B09FF" w:rsidRPr="007A60F7" w:rsidRDefault="005B09FF" w:rsidP="005B09FF">
                  <w:pPr>
                    <w:jc w:val="center"/>
                    <w:rPr>
                      <w:lang w:val="es-SV"/>
                    </w:rPr>
                  </w:pPr>
                  <w:r w:rsidRPr="007A60F7">
                    <w:rPr>
                      <w:bCs/>
                    </w:rPr>
                    <w:t>No constituyen rentas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33" type="#_x0000_t32" style="position:absolute;left:0;text-align:left;margin-left:228.45pt;margin-top:133.95pt;width:55.5pt;height:57pt;z-index:251667456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32" type="#_x0000_t32" style="position:absolute;left:0;text-align:left;margin-left:124.2pt;margin-top:102.45pt;width:52.5pt;height:0;z-index:251666432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31" style="position:absolute;left:0;text-align:left;margin-left:289.2pt;margin-top:157.95pt;width:186.75pt;height:99pt;z-index:251665408" arcsize="10923f">
            <v:textbox>
              <w:txbxContent>
                <w:p w:rsidR="005B09FF" w:rsidRDefault="005B09FF" w:rsidP="005B09FF">
                  <w:pPr>
                    <w:pStyle w:val="Default"/>
                    <w:rPr>
                      <w:bCs/>
                      <w:sz w:val="16"/>
                      <w:szCs w:val="16"/>
                    </w:rPr>
                  </w:pPr>
                  <w:r w:rsidRPr="00AB0F65">
                    <w:rPr>
                      <w:bCs/>
                      <w:sz w:val="16"/>
                      <w:szCs w:val="16"/>
                    </w:rPr>
                    <w:t>Fuente</w:t>
                  </w:r>
                  <w:r>
                    <w:rPr>
                      <w:bCs/>
                      <w:sz w:val="16"/>
                      <w:szCs w:val="16"/>
                    </w:rPr>
                    <w:t xml:space="preserve">s del trabajo </w:t>
                  </w:r>
                </w:p>
                <w:p w:rsidR="005B09FF" w:rsidRPr="00AB0F65" w:rsidRDefault="005B09FF" w:rsidP="005B09FF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 xml:space="preserve"> </w:t>
                  </w:r>
                  <w:r w:rsidRPr="00AB0F65">
                    <w:rPr>
                      <w:bCs/>
                      <w:sz w:val="16"/>
                      <w:szCs w:val="16"/>
                    </w:rPr>
                    <w:t xml:space="preserve">salarios, </w:t>
                  </w:r>
                </w:p>
                <w:p w:rsidR="005B09FF" w:rsidRPr="00AB0F65" w:rsidRDefault="005B09FF" w:rsidP="005B09FF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16"/>
                      <w:szCs w:val="16"/>
                    </w:rPr>
                  </w:pPr>
                  <w:r w:rsidRPr="00AB0F65">
                    <w:rPr>
                      <w:bCs/>
                      <w:sz w:val="16"/>
                      <w:szCs w:val="16"/>
                    </w:rPr>
                    <w:t xml:space="preserve">sueldos, </w:t>
                  </w:r>
                </w:p>
                <w:p w:rsidR="005B09FF" w:rsidRPr="00AB0F65" w:rsidRDefault="005B09FF" w:rsidP="005B09FF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16"/>
                      <w:szCs w:val="16"/>
                    </w:rPr>
                  </w:pPr>
                  <w:r w:rsidRPr="00AB0F65">
                    <w:rPr>
                      <w:bCs/>
                      <w:sz w:val="16"/>
                      <w:szCs w:val="16"/>
                    </w:rPr>
                    <w:t xml:space="preserve">honorarios, </w:t>
                  </w:r>
                </w:p>
                <w:p w:rsidR="005B09FF" w:rsidRPr="00AB0F65" w:rsidRDefault="005B09FF" w:rsidP="005B09FF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16"/>
                      <w:szCs w:val="16"/>
                    </w:rPr>
                  </w:pPr>
                  <w:r w:rsidRPr="00AB0F65">
                    <w:rPr>
                      <w:bCs/>
                      <w:sz w:val="16"/>
                      <w:szCs w:val="16"/>
                    </w:rPr>
                    <w:t>comisiones y</w:t>
                  </w:r>
                </w:p>
                <w:p w:rsidR="005B09FF" w:rsidRPr="00AB0F65" w:rsidRDefault="005B09FF" w:rsidP="005B09FF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16"/>
                      <w:szCs w:val="16"/>
                    </w:rPr>
                  </w:pPr>
                  <w:r w:rsidRPr="00AB0F65">
                    <w:rPr>
                      <w:bCs/>
                      <w:sz w:val="16"/>
                      <w:szCs w:val="16"/>
                    </w:rPr>
                    <w:t xml:space="preserve"> toda clase de remuneraciones o compensaciones por servicios personales </w:t>
                  </w:r>
                </w:p>
                <w:p w:rsidR="005B09FF" w:rsidRPr="00AB0F65" w:rsidRDefault="005B09FF" w:rsidP="005B09FF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0" style="position:absolute;left:0;text-align:left;margin-left:176.7pt;margin-top:79.2pt;width:186.75pt;height:54.75pt;z-index:251664384" arcsize="10923f">
            <v:textbox>
              <w:txbxContent>
                <w:p w:rsidR="005B09FF" w:rsidRPr="00AB0F65" w:rsidRDefault="005B09FF" w:rsidP="005B09FF">
                  <w:pPr>
                    <w:rPr>
                      <w:sz w:val="16"/>
                      <w:szCs w:val="16"/>
                      <w:lang w:val="es-SV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>P</w:t>
                  </w:r>
                  <w:r w:rsidRPr="00AB0F65">
                    <w:rPr>
                      <w:bCs/>
                      <w:sz w:val="16"/>
                      <w:szCs w:val="16"/>
                    </w:rPr>
                    <w:t>roductos o utilidades percibidos o devengados por los sujetos pasivos, ya sea en efectivo o en especie y provenientes de cualquier clase de fuente</w:t>
                  </w:r>
                  <w:r>
                    <w:rPr>
                      <w:bCs/>
                      <w:sz w:val="16"/>
                      <w:szCs w:val="16"/>
                    </w:rPr>
                    <w:t>.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29" style="position:absolute;left:0;text-align:left;margin-left:7.95pt;margin-top:88.2pt;width:116.25pt;height:30.75pt;z-index:251663360" arcsize="10923f">
            <v:textbox>
              <w:txbxContent>
                <w:p w:rsidR="005B09FF" w:rsidRPr="00AB0F65" w:rsidRDefault="005B09FF" w:rsidP="005B09FF">
                  <w:pPr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Renta obtenida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28" type="#_x0000_t32" style="position:absolute;left:0;text-align:left;margin-left:124.2pt;margin-top:24.45pt;width:52.5pt;height:0;z-index:251662336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27" style="position:absolute;left:0;text-align:left;margin-left:176.7pt;margin-top:7.2pt;width:186.75pt;height:54.75pt;z-index:251661312" arcsize="10923f">
            <v:textbox>
              <w:txbxContent>
                <w:p w:rsidR="005B09FF" w:rsidRPr="00AB0F65" w:rsidRDefault="005B09FF" w:rsidP="005B09FF">
                  <w:pPr>
                    <w:rPr>
                      <w:sz w:val="16"/>
                      <w:szCs w:val="16"/>
                      <w:lang w:val="es-SV"/>
                    </w:rPr>
                  </w:pPr>
                  <w:r w:rsidRPr="00AB0F65">
                    <w:rPr>
                      <w:b/>
                      <w:sz w:val="16"/>
                      <w:szCs w:val="16"/>
                      <w:lang w:val="es-SV"/>
                    </w:rPr>
                    <w:t>Hecho generador</w:t>
                  </w:r>
                  <w:r>
                    <w:rPr>
                      <w:b/>
                      <w:sz w:val="16"/>
                      <w:szCs w:val="16"/>
                      <w:lang w:val="es-SV"/>
                    </w:rPr>
                    <w:t xml:space="preserve">: </w:t>
                  </w:r>
                  <w:r w:rsidRPr="00AB0F65">
                    <w:rPr>
                      <w:sz w:val="16"/>
                      <w:szCs w:val="16"/>
                      <w:lang w:val="es-SV"/>
                    </w:rPr>
                    <w:t>La</w:t>
                  </w:r>
                  <w:r w:rsidRPr="00AB0F65">
                    <w:rPr>
                      <w:bCs/>
                      <w:sz w:val="16"/>
                      <w:szCs w:val="16"/>
                    </w:rPr>
                    <w:t xml:space="preserve"> obtención de rentas por los sujetos pasivos en el ejercicio o periodo de imposición de que se trate, genera la obligación de pago del impuesto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26" style="position:absolute;left:0;text-align:left;margin-left:7.95pt;margin-top:10.95pt;width:116.25pt;height:30.75pt;z-index:251660288" arcsize="10923f">
            <v:textbox>
              <w:txbxContent>
                <w:p w:rsidR="005B09FF" w:rsidRPr="00AB0F65" w:rsidRDefault="005B09FF" w:rsidP="005B09FF">
                  <w:pPr>
                    <w:rPr>
                      <w:lang w:val="es-SV"/>
                    </w:rPr>
                  </w:pPr>
                  <w:r>
                    <w:rPr>
                      <w:lang w:val="es-SV"/>
                    </w:rPr>
                    <w:t>Rentas gravadas</w:t>
                  </w:r>
                </w:p>
              </w:txbxContent>
            </v:textbox>
          </v:roundrect>
        </w:pict>
      </w: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Pr="00DA4818" w:rsidRDefault="005B09FF" w:rsidP="005B09FF">
      <w:pPr>
        <w:rPr>
          <w:lang w:val="es-SV"/>
        </w:rPr>
      </w:pPr>
    </w:p>
    <w:p w:rsidR="005B09FF" w:rsidRDefault="005B09FF" w:rsidP="005B09FF">
      <w:pPr>
        <w:rPr>
          <w:lang w:val="es-SV"/>
        </w:rPr>
      </w:pPr>
    </w:p>
    <w:p w:rsidR="005B09FF" w:rsidRDefault="005B09FF" w:rsidP="005B09FF">
      <w:pPr>
        <w:rPr>
          <w:lang w:val="es-SV"/>
        </w:rPr>
      </w:pPr>
    </w:p>
    <w:p w:rsidR="005B09FF" w:rsidRDefault="005B09FF" w:rsidP="005B09FF">
      <w:pPr>
        <w:tabs>
          <w:tab w:val="left" w:pos="4793"/>
        </w:tabs>
        <w:rPr>
          <w:lang w:val="es-SV"/>
        </w:rPr>
      </w:pPr>
      <w:r>
        <w:rPr>
          <w:lang w:val="es-SV"/>
        </w:rPr>
        <w:tab/>
      </w:r>
    </w:p>
    <w:p w:rsidR="005B09FF" w:rsidRDefault="005B09FF" w:rsidP="005B09FF">
      <w:pPr>
        <w:tabs>
          <w:tab w:val="left" w:pos="4793"/>
        </w:tabs>
        <w:rPr>
          <w:lang w:val="es-SV"/>
        </w:rPr>
      </w:pPr>
    </w:p>
    <w:p w:rsidR="005B09FF" w:rsidRPr="00DA4818" w:rsidRDefault="005B09FF" w:rsidP="005B09FF">
      <w:pPr>
        <w:tabs>
          <w:tab w:val="left" w:pos="4793"/>
        </w:tabs>
        <w:rPr>
          <w:lang w:val="es-SV"/>
        </w:rPr>
      </w:pPr>
      <w:r>
        <w:rPr>
          <w:noProof/>
          <w:lang w:eastAsia="es-ES"/>
        </w:rPr>
        <w:lastRenderedPageBreak/>
        <w:pict>
          <v:shape id="_x0000_s1063" type="#_x0000_t32" style="position:absolute;margin-left:70.75pt;margin-top:379.4pt;width:1.1pt;height:31.2pt;z-index:251698176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62" style="position:absolute;margin-left:13.8pt;margin-top:410.6pt;width:125.75pt;height:147.25pt;z-index:251697152" arcsize="10923f">
            <v:textbox>
              <w:txbxContent>
                <w:p w:rsidR="005B09FF" w:rsidRPr="00932C17" w:rsidRDefault="005B09FF" w:rsidP="005B09FF">
                  <w:pPr>
                    <w:rPr>
                      <w:lang w:val="es-SV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Se determinará deduciendo de la renta obtenida los costos y gastos necesarios para la producción de la renta y para la conservación de su fuente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61" style="position:absolute;margin-left:14.15pt;margin-top:354.7pt;width:125.75pt;height:24.7pt;z-index:251696128" arcsize="10923f">
            <v:textbox>
              <w:txbxContent>
                <w:p w:rsidR="005B09FF" w:rsidRPr="00932C17" w:rsidRDefault="005B09FF" w:rsidP="005B09FF">
                  <w:pPr>
                    <w:rPr>
                      <w:lang w:val="es-SV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s-SV"/>
                    </w:rPr>
                    <w:t>Renta Neta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60" type="#_x0000_t32" style="position:absolute;margin-left:139.9pt;margin-top:240.8pt;width:46.2pt;height:0;z-index:251695104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59" style="position:absolute;margin-left:192.35pt;margin-top:223.6pt;width:125.75pt;height:121.45pt;z-index:251694080" arcsize="10923f">
            <v:textbox>
              <w:txbxContent>
                <w:p w:rsidR="005B09FF" w:rsidRPr="00932C17" w:rsidRDefault="005B09FF" w:rsidP="005B09FF">
                  <w:pPr>
                    <w:pStyle w:val="Default"/>
                    <w:rPr>
                      <w:sz w:val="16"/>
                      <w:szCs w:val="16"/>
                    </w:rPr>
                  </w:pPr>
                </w:p>
                <w:p w:rsidR="005B09FF" w:rsidRPr="00932C17" w:rsidRDefault="005B09FF" w:rsidP="005B09FF">
                  <w:pPr>
                    <w:pStyle w:val="Default"/>
                    <w:spacing w:after="200"/>
                    <w:jc w:val="both"/>
                    <w:rPr>
                      <w:sz w:val="16"/>
                      <w:szCs w:val="16"/>
                    </w:rPr>
                  </w:pPr>
                  <w:proofErr w:type="gramStart"/>
                  <w:r w:rsidRPr="00932C17">
                    <w:rPr>
                      <w:bCs/>
                      <w:sz w:val="16"/>
                      <w:szCs w:val="16"/>
                    </w:rPr>
                    <w:t>se</w:t>
                  </w:r>
                  <w:proofErr w:type="gramEnd"/>
                  <w:r w:rsidRPr="00932C17">
                    <w:rPr>
                      <w:bCs/>
                      <w:sz w:val="16"/>
                      <w:szCs w:val="16"/>
                    </w:rPr>
                    <w:t xml:space="preserve"> determinará deduciendo del valor de la transacción, el costo básico del bien, el importe de las mejoras efectuadas para conservar su valor y el de los gastos necesarios para efectuar la transacción </w:t>
                  </w:r>
                </w:p>
                <w:p w:rsidR="005B09FF" w:rsidRPr="00932C17" w:rsidRDefault="005B09FF" w:rsidP="005B09FF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58" style="position:absolute;margin-left:13.8pt;margin-top:223.6pt;width:125.75pt;height:24.7pt;z-index:251693056" arcsize="10923f">
            <v:textbox>
              <w:txbxContent>
                <w:p w:rsidR="005B09FF" w:rsidRPr="00932C17" w:rsidRDefault="005B09FF" w:rsidP="005B09FF">
                  <w:pPr>
                    <w:rPr>
                      <w:lang w:val="es-SV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s-SV"/>
                    </w:rPr>
                    <w:t>Ganancia de capital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57" type="#_x0000_t32" style="position:absolute;margin-left:70.75pt;margin-top:32.3pt;width:0;height:41.9pt;z-index:251692032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55" style="position:absolute;margin-left:192.35pt;margin-top:120.45pt;width:177.15pt;height:56.95pt;z-index:251689984" arcsize="10923f">
            <v:textbox>
              <w:txbxContent>
                <w:p w:rsidR="005B09FF" w:rsidRPr="00932C17" w:rsidRDefault="005B09FF" w:rsidP="005B09FF">
                  <w:pPr>
                    <w:pStyle w:val="Default"/>
                    <w:spacing w:before="100" w:after="200"/>
                    <w:jc w:val="both"/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bCs/>
                      <w:sz w:val="16"/>
                      <w:szCs w:val="16"/>
                    </w:rPr>
                    <w:t>d</w:t>
                  </w:r>
                  <w:r w:rsidRPr="00932C17">
                    <w:rPr>
                      <w:bCs/>
                      <w:sz w:val="16"/>
                      <w:szCs w:val="16"/>
                    </w:rPr>
                    <w:t>el</w:t>
                  </w:r>
                  <w:proofErr w:type="gramEnd"/>
                  <w:r w:rsidRPr="00932C17">
                    <w:rPr>
                      <w:bCs/>
                      <w:sz w:val="16"/>
                      <w:szCs w:val="16"/>
                    </w:rPr>
                    <w:t xml:space="preserve"> primero de enero y terminará el treinta y uno de diciembre </w:t>
                  </w:r>
                </w:p>
                <w:p w:rsidR="005B09FF" w:rsidRPr="00932C17" w:rsidRDefault="005B09FF" w:rsidP="005B09FF"/>
              </w:txbxContent>
            </v:textbox>
          </v:roundrect>
        </w:pict>
      </w:r>
      <w:r>
        <w:rPr>
          <w:noProof/>
          <w:lang w:eastAsia="es-ES"/>
        </w:rPr>
        <w:pict>
          <v:shape id="_x0000_s1056" type="#_x0000_t32" style="position:absolute;margin-left:139.55pt;margin-top:153.75pt;width:46.2pt;height:0;z-index:251691008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54" type="#_x0000_t32" style="position:absolute;margin-left:70.75pt;margin-top:98.9pt;width:1.1pt;height:36.6pt;z-index:251688960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53" type="#_x0000_t32" style="position:absolute;margin-left:139.55pt;margin-top:14.05pt;width:96.7pt;height:0;z-index:251687936" o:connectortype="straight">
            <v:stroke endarrow="block"/>
          </v:shape>
        </w:pict>
      </w:r>
      <w:r>
        <w:rPr>
          <w:noProof/>
          <w:lang w:eastAsia="es-ES"/>
        </w:rPr>
        <w:pict>
          <v:roundrect id="_x0000_s1052" style="position:absolute;margin-left:13.8pt;margin-top:135.5pt;width:125.75pt;height:24.7pt;z-index:251686912" arcsize="10923f">
            <v:textbox>
              <w:txbxContent>
                <w:p w:rsidR="005B09FF" w:rsidRPr="00932C17" w:rsidRDefault="005B09FF" w:rsidP="005B09FF">
                  <w:pPr>
                    <w:rPr>
                      <w:lang w:val="es-SV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s-SV"/>
                    </w:rPr>
                    <w:t>Doce meses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9" style="position:absolute;margin-left:13.8pt;margin-top:-3.15pt;width:125.75pt;height:35.45pt;z-index:251683840" arcsize="10923f">
            <v:textbox>
              <w:txbxContent>
                <w:p w:rsidR="005B09FF" w:rsidRDefault="005B09FF" w:rsidP="005B09FF">
                  <w:pPr>
                    <w:jc w:val="center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>Determinación de la renta obtenida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51" style="position:absolute;margin-left:13.8pt;margin-top:74.2pt;width:125.75pt;height:24.7pt;z-index:251685888" arcsize="10923f">
            <v:textbox>
              <w:txbxContent>
                <w:p w:rsidR="005B09FF" w:rsidRDefault="005B09FF" w:rsidP="005B09FF">
                  <w:r>
                    <w:rPr>
                      <w:b/>
                      <w:bCs/>
                      <w:sz w:val="20"/>
                      <w:szCs w:val="20"/>
                    </w:rPr>
                    <w:t>Ejercicio de imposición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50" style="position:absolute;margin-left:242.7pt;margin-top:-10.65pt;width:126.8pt;height:75.2pt;z-index:251684864" arcsize="10923f">
            <v:textbox>
              <w:txbxContent>
                <w:p w:rsidR="005B09FF" w:rsidRDefault="005B09FF" w:rsidP="005B09FF">
                  <w:r>
                    <w:rPr>
                      <w:b/>
                      <w:bCs/>
                      <w:sz w:val="20"/>
                      <w:szCs w:val="20"/>
                    </w:rPr>
                    <w:t>Se suman los productos o utilidades totales de las distintas fuentes de renta del sujeto pasivo</w:t>
                  </w:r>
                </w:p>
              </w:txbxContent>
            </v:textbox>
          </v:roundrect>
        </w:pict>
      </w:r>
    </w:p>
    <w:p w:rsidR="006E4497" w:rsidRDefault="006E4497"/>
    <w:sectPr w:rsidR="006E4497" w:rsidSect="00020D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257B9"/>
    <w:multiLevelType w:val="hybridMultilevel"/>
    <w:tmpl w:val="3C62EFAA"/>
    <w:lvl w:ilvl="0" w:tplc="F38E31F0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691B51"/>
    <w:multiLevelType w:val="hybridMultilevel"/>
    <w:tmpl w:val="3618983E"/>
    <w:lvl w:ilvl="0" w:tplc="781A1A7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3C09B3"/>
    <w:multiLevelType w:val="hybridMultilevel"/>
    <w:tmpl w:val="67DE4B1E"/>
    <w:lvl w:ilvl="0" w:tplc="3022E7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5B09FF"/>
    <w:rsid w:val="005B09FF"/>
    <w:rsid w:val="006E4497"/>
    <w:rsid w:val="00B72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63"/>
        <o:r id="V:Rule2" type="connector" idref="#_x0000_s1039"/>
        <o:r id="V:Rule3" type="connector" idref="#_x0000_s1043"/>
        <o:r id="V:Rule4" type="connector" idref="#_x0000_s1033"/>
        <o:r id="V:Rule5" type="connector" idref="#_x0000_s1060"/>
        <o:r id="V:Rule6" type="connector" idref="#_x0000_s1057"/>
        <o:r id="V:Rule7" type="connector" idref="#_x0000_s1044"/>
        <o:r id="V:Rule8" type="connector" idref="#_x0000_s1053"/>
        <o:r id="V:Rule9" type="connector" idref="#_x0000_s1048"/>
        <o:r id="V:Rule10" type="connector" idref="#_x0000_s1036"/>
        <o:r id="V:Rule11" type="connector" idref="#_x0000_s1032"/>
        <o:r id="V:Rule12" type="connector" idref="#_x0000_s1028"/>
        <o:r id="V:Rule13" type="connector" idref="#_x0000_s1054"/>
        <o:r id="V:Rule14" type="connector" idref="#_x0000_s1046"/>
        <o:r id="V:Rule15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9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B09FF"/>
    <w:pPr>
      <w:ind w:left="720"/>
      <w:contextualSpacing/>
    </w:pPr>
  </w:style>
  <w:style w:type="paragraph" w:customStyle="1" w:styleId="Default">
    <w:name w:val="Default"/>
    <w:rsid w:val="005B09F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68</Characters>
  <Application>Microsoft Office Word</Application>
  <DocSecurity>0</DocSecurity>
  <Lines>1</Lines>
  <Paragraphs>1</Paragraphs>
  <ScaleCrop>false</ScaleCrop>
  <Company>PERSONAL</Company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2</cp:revision>
  <dcterms:created xsi:type="dcterms:W3CDTF">2013-10-12T05:17:00Z</dcterms:created>
  <dcterms:modified xsi:type="dcterms:W3CDTF">2013-10-12T05:19:00Z</dcterms:modified>
</cp:coreProperties>
</file>