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CBA" w:rsidRPr="00A83A9A" w:rsidRDefault="00327CDF" w:rsidP="009D4312">
      <w:pPr>
        <w:jc w:val="center"/>
        <w:rPr>
          <w:rFonts w:ascii="Arial Narrow" w:hAnsi="Arial Narrow"/>
          <w:b/>
          <w:sz w:val="24"/>
          <w:szCs w:val="24"/>
        </w:rPr>
      </w:pPr>
      <w:r w:rsidRPr="00A83A9A">
        <w:rPr>
          <w:rFonts w:ascii="Arial Narrow" w:hAnsi="Arial Narrow"/>
          <w:b/>
          <w:sz w:val="24"/>
          <w:szCs w:val="24"/>
        </w:rPr>
        <w:t>PRECIOS DE TRANSFERENCIA</w:t>
      </w:r>
    </w:p>
    <w:p w:rsidR="00327CDF" w:rsidRPr="009D4312" w:rsidRDefault="009D4312" w:rsidP="00281FF6">
      <w:pPr>
        <w:jc w:val="both"/>
        <w:rPr>
          <w:rFonts w:ascii="Arial Narrow" w:hAnsi="Arial Narrow"/>
          <w:b/>
          <w:sz w:val="24"/>
          <w:szCs w:val="24"/>
        </w:rPr>
      </w:pPr>
      <w:r w:rsidRPr="009D4312">
        <w:rPr>
          <w:rFonts w:ascii="Arial Narrow" w:hAnsi="Arial Narrow"/>
          <w:b/>
          <w:sz w:val="24"/>
          <w:szCs w:val="24"/>
        </w:rPr>
        <w:t>Regulación</w:t>
      </w:r>
      <w:r w:rsidR="0045086E" w:rsidRPr="009D4312">
        <w:rPr>
          <w:rFonts w:ascii="Arial Narrow" w:hAnsi="Arial Narrow"/>
          <w:b/>
          <w:sz w:val="24"/>
          <w:szCs w:val="24"/>
        </w:rPr>
        <w:t xml:space="preserve"> de Precios de Transferencia en El Salvador</w:t>
      </w:r>
    </w:p>
    <w:p w:rsidR="00327CDF" w:rsidRPr="00A83A9A" w:rsidRDefault="00327CDF" w:rsidP="00281FF6">
      <w:pPr>
        <w:pStyle w:val="Default"/>
        <w:spacing w:after="63"/>
        <w:jc w:val="both"/>
        <w:rPr>
          <w:rFonts w:ascii="Arial Narrow" w:hAnsi="Arial Narrow"/>
        </w:rPr>
      </w:pPr>
      <w:r w:rsidRPr="00A83A9A">
        <w:rPr>
          <w:rFonts w:ascii="Arial Narrow" w:hAnsi="Arial Narrow"/>
        </w:rPr>
        <w:t>•</w:t>
      </w:r>
      <w:r w:rsidRPr="00A83A9A">
        <w:rPr>
          <w:rFonts w:ascii="Arial Narrow" w:hAnsi="Arial Narrow"/>
          <w:i/>
          <w:iCs/>
        </w:rPr>
        <w:t xml:space="preserve">Normativa Legal </w:t>
      </w:r>
    </w:p>
    <w:p w:rsidR="00327CDF" w:rsidRPr="00A83A9A" w:rsidRDefault="00327CDF" w:rsidP="00281FF6">
      <w:pPr>
        <w:pStyle w:val="Default"/>
        <w:spacing w:after="63"/>
        <w:jc w:val="both"/>
        <w:rPr>
          <w:rFonts w:ascii="Arial Narrow" w:hAnsi="Arial Narrow"/>
        </w:rPr>
      </w:pPr>
      <w:r w:rsidRPr="00A83A9A">
        <w:rPr>
          <w:rFonts w:ascii="Arial Narrow" w:hAnsi="Arial Narrow"/>
        </w:rPr>
        <w:t>•</w:t>
      </w:r>
      <w:r w:rsidRPr="00A83A9A">
        <w:rPr>
          <w:rFonts w:ascii="Arial Narrow" w:hAnsi="Arial Narrow"/>
          <w:i/>
          <w:iCs/>
        </w:rPr>
        <w:t xml:space="preserve">Obligaciones del Contribuyente </w:t>
      </w:r>
    </w:p>
    <w:p w:rsidR="00327CDF" w:rsidRPr="00A83A9A" w:rsidRDefault="00327CDF" w:rsidP="00281FF6">
      <w:pPr>
        <w:pStyle w:val="Default"/>
        <w:jc w:val="both"/>
        <w:rPr>
          <w:rFonts w:ascii="Arial Narrow" w:hAnsi="Arial Narrow"/>
          <w:i/>
          <w:iCs/>
        </w:rPr>
      </w:pPr>
      <w:r w:rsidRPr="00A83A9A">
        <w:rPr>
          <w:rFonts w:ascii="Arial Narrow" w:hAnsi="Arial Narrow"/>
        </w:rPr>
        <w:t>•</w:t>
      </w:r>
      <w:r w:rsidRPr="00A83A9A">
        <w:rPr>
          <w:rFonts w:ascii="Arial Narrow" w:hAnsi="Arial Narrow"/>
          <w:i/>
          <w:iCs/>
        </w:rPr>
        <w:t>Obligaciones del Auditor Fiscal</w:t>
      </w:r>
    </w:p>
    <w:p w:rsidR="00327CDF" w:rsidRPr="00A83A9A" w:rsidRDefault="00327CDF" w:rsidP="00281FF6">
      <w:pPr>
        <w:pStyle w:val="Default"/>
        <w:jc w:val="both"/>
        <w:rPr>
          <w:rFonts w:ascii="Arial Narrow" w:hAnsi="Arial Narrow"/>
          <w:i/>
          <w:iCs/>
        </w:rPr>
      </w:pPr>
    </w:p>
    <w:p w:rsidR="00327CDF" w:rsidRPr="00A83A9A" w:rsidRDefault="00327CDF" w:rsidP="00281FF6">
      <w:pPr>
        <w:pStyle w:val="Default"/>
        <w:jc w:val="both"/>
        <w:rPr>
          <w:rFonts w:ascii="Arial Narrow" w:hAnsi="Arial Narrow"/>
        </w:rPr>
      </w:pPr>
      <w:r w:rsidRPr="00A83A9A">
        <w:rPr>
          <w:rFonts w:ascii="Arial Narrow" w:hAnsi="Arial Narrow"/>
          <w:b/>
          <w:bCs/>
        </w:rPr>
        <w:t xml:space="preserve">Precio de Transferencia </w:t>
      </w:r>
    </w:p>
    <w:p w:rsidR="00327CDF" w:rsidRPr="00A83A9A" w:rsidRDefault="00327CDF" w:rsidP="00281FF6">
      <w:pPr>
        <w:pStyle w:val="Default"/>
        <w:jc w:val="both"/>
        <w:rPr>
          <w:rFonts w:ascii="Arial Narrow" w:hAnsi="Arial Narrow"/>
          <w:i/>
          <w:iCs/>
        </w:rPr>
      </w:pPr>
      <w:r w:rsidRPr="00A83A9A">
        <w:rPr>
          <w:rFonts w:ascii="Arial Narrow" w:hAnsi="Arial Narrow"/>
          <w:i/>
          <w:iCs/>
        </w:rPr>
        <w:t>“El precio pactado en la transferencia de bienes tangibles o intangibles, prestación de servicios, o cualquier otra operación realizada entre entidades o sujetos relacionados”.</w:t>
      </w:r>
    </w:p>
    <w:p w:rsidR="00327CDF" w:rsidRPr="00A83A9A" w:rsidRDefault="00327CDF" w:rsidP="00281FF6">
      <w:pPr>
        <w:pStyle w:val="Default"/>
        <w:jc w:val="both"/>
        <w:rPr>
          <w:rFonts w:ascii="Arial Narrow" w:hAnsi="Arial Narrow"/>
          <w:i/>
          <w:iCs/>
        </w:rPr>
      </w:pPr>
    </w:p>
    <w:p w:rsidR="00327CDF" w:rsidRPr="00A83A9A" w:rsidRDefault="00327CDF" w:rsidP="00281FF6">
      <w:pPr>
        <w:pStyle w:val="Default"/>
        <w:jc w:val="both"/>
        <w:rPr>
          <w:rFonts w:ascii="Arial Narrow" w:hAnsi="Arial Narrow"/>
        </w:rPr>
      </w:pPr>
      <w:r w:rsidRPr="00A83A9A">
        <w:rPr>
          <w:rFonts w:ascii="Arial Narrow" w:hAnsi="Arial Narrow"/>
          <w:b/>
          <w:bCs/>
        </w:rPr>
        <w:t xml:space="preserve">Principio de Libre Competencia </w:t>
      </w:r>
    </w:p>
    <w:p w:rsidR="00327CDF" w:rsidRPr="00A83A9A" w:rsidRDefault="00327CDF" w:rsidP="00281FF6">
      <w:pPr>
        <w:pStyle w:val="Default"/>
        <w:jc w:val="both"/>
        <w:rPr>
          <w:rFonts w:ascii="Arial Narrow" w:hAnsi="Arial Narrow"/>
          <w:i/>
          <w:iCs/>
        </w:rPr>
      </w:pPr>
      <w:r w:rsidRPr="00A83A9A">
        <w:rPr>
          <w:rFonts w:ascii="Arial Narrow" w:hAnsi="Arial Narrow"/>
          <w:i/>
          <w:iCs/>
        </w:rPr>
        <w:t xml:space="preserve">Este principio considera que “el precio, la utilidad o beneficio que se obtenga en una transacción entre entidades o sujetos relacionados </w:t>
      </w:r>
      <w:r w:rsidRPr="00A83A9A">
        <w:rPr>
          <w:rFonts w:ascii="Arial Narrow" w:hAnsi="Arial Narrow"/>
          <w:b/>
          <w:bCs/>
          <w:i/>
          <w:iCs/>
        </w:rPr>
        <w:t xml:space="preserve">(Operación vinculada) </w:t>
      </w:r>
      <w:r w:rsidRPr="00A83A9A">
        <w:rPr>
          <w:rFonts w:ascii="Arial Narrow" w:hAnsi="Arial Narrow"/>
          <w:i/>
          <w:iCs/>
        </w:rPr>
        <w:t xml:space="preserve">debe ser el precio, utilidad o beneficio que se hubiera obtenido en una transacción comparable entre entidades o sujetos independientes </w:t>
      </w:r>
      <w:r w:rsidRPr="00A83A9A">
        <w:rPr>
          <w:rFonts w:ascii="Arial Narrow" w:hAnsi="Arial Narrow"/>
          <w:b/>
          <w:bCs/>
          <w:i/>
          <w:iCs/>
        </w:rPr>
        <w:t>(Operación no Vinculada)</w:t>
      </w:r>
      <w:r w:rsidRPr="00A83A9A">
        <w:rPr>
          <w:rFonts w:ascii="Arial Narrow" w:hAnsi="Arial Narrow"/>
          <w:i/>
          <w:iCs/>
        </w:rPr>
        <w:t>”.</w:t>
      </w:r>
    </w:p>
    <w:p w:rsidR="0045086E" w:rsidRPr="00A83A9A" w:rsidRDefault="0045086E" w:rsidP="00281FF6">
      <w:pPr>
        <w:pStyle w:val="Default"/>
        <w:jc w:val="both"/>
        <w:rPr>
          <w:rFonts w:ascii="Arial Narrow" w:hAnsi="Arial Narrow"/>
          <w:b/>
          <w:i/>
          <w:iCs/>
        </w:rPr>
      </w:pPr>
    </w:p>
    <w:p w:rsidR="0045086E" w:rsidRPr="00A83A9A" w:rsidRDefault="0045086E" w:rsidP="00281FF6">
      <w:pPr>
        <w:pStyle w:val="Default"/>
        <w:jc w:val="both"/>
        <w:rPr>
          <w:rFonts w:ascii="Arial Narrow" w:hAnsi="Arial Narrow"/>
          <w:b/>
          <w:i/>
          <w:iCs/>
        </w:rPr>
      </w:pPr>
      <w:r w:rsidRPr="00A83A9A">
        <w:rPr>
          <w:rFonts w:ascii="Arial Narrow" w:hAnsi="Arial Narrow"/>
          <w:b/>
          <w:i/>
          <w:iCs/>
        </w:rPr>
        <w:t>Ejemplo de aplicación de PT</w:t>
      </w:r>
    </w:p>
    <w:p w:rsidR="0045086E" w:rsidRPr="00A83A9A" w:rsidRDefault="0045086E" w:rsidP="00281FF6">
      <w:pPr>
        <w:pStyle w:val="Default"/>
        <w:jc w:val="both"/>
        <w:rPr>
          <w:rFonts w:ascii="Arial Narrow" w:hAnsi="Arial Narrow"/>
        </w:rPr>
      </w:pPr>
    </w:p>
    <w:p w:rsidR="00327CDF" w:rsidRPr="00A83A9A" w:rsidRDefault="0045086E" w:rsidP="00281FF6">
      <w:pPr>
        <w:jc w:val="both"/>
        <w:rPr>
          <w:rFonts w:ascii="Arial Narrow" w:hAnsi="Arial Narrow"/>
          <w:b/>
          <w:sz w:val="24"/>
          <w:szCs w:val="24"/>
        </w:rPr>
      </w:pPr>
      <w:r w:rsidRPr="00A83A9A">
        <w:rPr>
          <w:rFonts w:ascii="Arial Narrow" w:hAnsi="Arial Narrow"/>
          <w:b/>
          <w:noProof/>
          <w:sz w:val="24"/>
          <w:szCs w:val="24"/>
          <w:lang w:eastAsia="es-SV"/>
        </w:rPr>
        <w:drawing>
          <wp:anchor distT="0" distB="0" distL="114300" distR="114300" simplePos="0" relativeHeight="251658240" behindDoc="0" locked="0" layoutInCell="1" allowOverlap="1">
            <wp:simplePos x="0" y="0"/>
            <wp:positionH relativeFrom="column">
              <wp:posOffset>19050</wp:posOffset>
            </wp:positionH>
            <wp:positionV relativeFrom="paragraph">
              <wp:posOffset>90170</wp:posOffset>
            </wp:positionV>
            <wp:extent cx="5616575" cy="1009015"/>
            <wp:effectExtent l="19050" t="0" r="3175" b="0"/>
            <wp:wrapNone/>
            <wp:docPr id="9" name="Imagen 9" descr="C:\Users\Elisa\AppData\Local\Temp\SNAGHTML202cf2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Elisa\AppData\Local\Temp\SNAGHTML202cf2b.PNG"/>
                    <pic:cNvPicPr>
                      <a:picLocks noChangeAspect="1" noChangeArrowheads="1"/>
                    </pic:cNvPicPr>
                  </pic:nvPicPr>
                  <pic:blipFill>
                    <a:blip r:embed="rId5" cstate="print"/>
                    <a:srcRect/>
                    <a:stretch>
                      <a:fillRect/>
                    </a:stretch>
                  </pic:blipFill>
                  <pic:spPr bwMode="auto">
                    <a:xfrm>
                      <a:off x="0" y="0"/>
                      <a:ext cx="5616575" cy="1009015"/>
                    </a:xfrm>
                    <a:prstGeom prst="rect">
                      <a:avLst/>
                    </a:prstGeom>
                    <a:noFill/>
                    <a:ln w="9525">
                      <a:noFill/>
                      <a:miter lim="800000"/>
                      <a:headEnd/>
                      <a:tailEnd/>
                    </a:ln>
                  </pic:spPr>
                </pic:pic>
              </a:graphicData>
            </a:graphic>
          </wp:anchor>
        </w:drawing>
      </w:r>
    </w:p>
    <w:p w:rsidR="00327CDF" w:rsidRPr="00A83A9A" w:rsidRDefault="00327CDF" w:rsidP="00281FF6">
      <w:pPr>
        <w:jc w:val="both"/>
        <w:rPr>
          <w:rFonts w:ascii="Arial Narrow" w:hAnsi="Arial Narrow"/>
          <w:b/>
          <w:sz w:val="24"/>
          <w:szCs w:val="24"/>
        </w:rPr>
      </w:pPr>
    </w:p>
    <w:p w:rsidR="0045086E" w:rsidRPr="00A83A9A" w:rsidRDefault="0045086E" w:rsidP="00281FF6">
      <w:pPr>
        <w:jc w:val="both"/>
        <w:rPr>
          <w:rFonts w:ascii="Arial Narrow" w:hAnsi="Arial Narrow"/>
          <w:b/>
          <w:sz w:val="24"/>
          <w:szCs w:val="24"/>
        </w:rPr>
      </w:pPr>
    </w:p>
    <w:p w:rsidR="0045086E" w:rsidRPr="00A83A9A" w:rsidRDefault="0045086E" w:rsidP="00281FF6">
      <w:pPr>
        <w:jc w:val="both"/>
        <w:rPr>
          <w:rFonts w:ascii="Arial Narrow" w:hAnsi="Arial Narrow"/>
          <w:b/>
          <w:sz w:val="24"/>
          <w:szCs w:val="24"/>
        </w:rPr>
      </w:pPr>
    </w:p>
    <w:p w:rsidR="0045086E" w:rsidRPr="00A83A9A" w:rsidRDefault="0045086E" w:rsidP="00281FF6">
      <w:pPr>
        <w:pStyle w:val="Default"/>
        <w:jc w:val="both"/>
        <w:rPr>
          <w:rFonts w:ascii="Arial Narrow" w:hAnsi="Arial Narrow"/>
          <w:b/>
        </w:rPr>
      </w:pPr>
      <w:r w:rsidRPr="00A83A9A">
        <w:rPr>
          <w:rFonts w:ascii="Arial Narrow" w:hAnsi="Arial Narrow"/>
          <w:b/>
        </w:rPr>
        <w:t xml:space="preserve">Los precios de transferencia pueden visualizarse bajo dos enfoques: </w:t>
      </w:r>
    </w:p>
    <w:p w:rsidR="0045086E" w:rsidRPr="00A83A9A" w:rsidRDefault="0045086E" w:rsidP="00281FF6">
      <w:pPr>
        <w:pStyle w:val="Sinespaciado"/>
        <w:numPr>
          <w:ilvl w:val="0"/>
          <w:numId w:val="5"/>
        </w:numPr>
        <w:jc w:val="both"/>
        <w:rPr>
          <w:rFonts w:ascii="Arial Narrow" w:hAnsi="Arial Narrow"/>
          <w:sz w:val="24"/>
          <w:szCs w:val="24"/>
        </w:rPr>
      </w:pPr>
      <w:r w:rsidRPr="00A83A9A">
        <w:rPr>
          <w:rFonts w:ascii="Arial Narrow" w:hAnsi="Arial Narrow"/>
          <w:sz w:val="24"/>
          <w:szCs w:val="24"/>
        </w:rPr>
        <w:t xml:space="preserve">Para los </w:t>
      </w:r>
      <w:r w:rsidRPr="009D4312">
        <w:rPr>
          <w:rFonts w:ascii="Arial Narrow" w:hAnsi="Arial Narrow"/>
          <w:bCs/>
          <w:sz w:val="24"/>
          <w:szCs w:val="24"/>
          <w:u w:val="single"/>
        </w:rPr>
        <w:t>grandes grupos multinacionales</w:t>
      </w:r>
      <w:r w:rsidRPr="00A83A9A">
        <w:rPr>
          <w:rFonts w:ascii="Arial Narrow" w:hAnsi="Arial Narrow"/>
          <w:b/>
          <w:bCs/>
          <w:sz w:val="24"/>
          <w:szCs w:val="24"/>
        </w:rPr>
        <w:t xml:space="preserve"> </w:t>
      </w:r>
      <w:r w:rsidRPr="00A83A9A">
        <w:rPr>
          <w:rFonts w:ascii="Arial Narrow" w:hAnsi="Arial Narrow"/>
          <w:sz w:val="24"/>
          <w:szCs w:val="24"/>
        </w:rPr>
        <w:t xml:space="preserve">el objetivo es buscar territorios, jurisdicciones o países en donde puedan cumplir sus obligaciones fiscales con tasas reducidas, con bases gravables sumamente limitadas y de ser posible, con la </w:t>
      </w:r>
      <w:proofErr w:type="spellStart"/>
      <w:proofErr w:type="gramStart"/>
      <w:r w:rsidRPr="00A83A9A">
        <w:rPr>
          <w:rFonts w:ascii="Arial Narrow" w:hAnsi="Arial Narrow"/>
          <w:sz w:val="24"/>
          <w:szCs w:val="24"/>
        </w:rPr>
        <w:t>mas</w:t>
      </w:r>
      <w:proofErr w:type="spellEnd"/>
      <w:proofErr w:type="gramEnd"/>
      <w:r w:rsidRPr="00A83A9A">
        <w:rPr>
          <w:rFonts w:ascii="Arial Narrow" w:hAnsi="Arial Narrow"/>
          <w:sz w:val="24"/>
          <w:szCs w:val="24"/>
        </w:rPr>
        <w:t xml:space="preserve"> baja precisión fiscal, optimizando así sus utilidades. </w:t>
      </w:r>
    </w:p>
    <w:p w:rsidR="00281FF6" w:rsidRPr="00A83A9A" w:rsidRDefault="00281FF6" w:rsidP="00281FF6">
      <w:pPr>
        <w:pStyle w:val="Sinespaciado"/>
        <w:ind w:left="720"/>
        <w:jc w:val="both"/>
        <w:rPr>
          <w:rFonts w:ascii="Arial Narrow" w:hAnsi="Arial Narrow"/>
          <w:sz w:val="24"/>
          <w:szCs w:val="24"/>
        </w:rPr>
      </w:pPr>
    </w:p>
    <w:p w:rsidR="0045086E" w:rsidRPr="00A83A9A" w:rsidRDefault="0045086E" w:rsidP="00281FF6">
      <w:pPr>
        <w:pStyle w:val="Sinespaciado"/>
        <w:numPr>
          <w:ilvl w:val="0"/>
          <w:numId w:val="5"/>
        </w:numPr>
        <w:jc w:val="both"/>
        <w:rPr>
          <w:rFonts w:ascii="Arial Narrow" w:hAnsi="Arial Narrow"/>
          <w:sz w:val="24"/>
          <w:szCs w:val="24"/>
        </w:rPr>
      </w:pPr>
      <w:r w:rsidRPr="00A83A9A">
        <w:rPr>
          <w:rFonts w:ascii="Arial Narrow" w:hAnsi="Arial Narrow"/>
          <w:sz w:val="24"/>
          <w:szCs w:val="24"/>
        </w:rPr>
        <w:t xml:space="preserve">Por su cuenta las </w:t>
      </w:r>
      <w:r w:rsidRPr="009D4312">
        <w:rPr>
          <w:rFonts w:ascii="Arial Narrow" w:hAnsi="Arial Narrow"/>
          <w:bCs/>
          <w:sz w:val="24"/>
          <w:szCs w:val="24"/>
          <w:u w:val="single"/>
        </w:rPr>
        <w:t>administraciones tributarias</w:t>
      </w:r>
      <w:r w:rsidRPr="00A83A9A">
        <w:rPr>
          <w:rFonts w:ascii="Arial Narrow" w:hAnsi="Arial Narrow"/>
          <w:b/>
          <w:bCs/>
          <w:sz w:val="24"/>
          <w:szCs w:val="24"/>
        </w:rPr>
        <w:t xml:space="preserve"> </w:t>
      </w:r>
      <w:r w:rsidRPr="00A83A9A">
        <w:rPr>
          <w:rFonts w:ascii="Arial Narrow" w:hAnsi="Arial Narrow"/>
          <w:sz w:val="24"/>
          <w:szCs w:val="24"/>
        </w:rPr>
        <w:t xml:space="preserve">de cada uno de los países del mundo desean gravar la riqueza generada por los sujetos que se encuentran bajo su soberanía fiscal con el objeto que paguen el impuesto que hubiera correspondido, en operaciones realizadas en un mercado abierto, fuera de cualquier manipulación posible. </w:t>
      </w:r>
    </w:p>
    <w:p w:rsidR="00281FF6" w:rsidRPr="00A83A9A" w:rsidRDefault="00281FF6" w:rsidP="00281FF6">
      <w:pPr>
        <w:pStyle w:val="Default"/>
        <w:jc w:val="both"/>
        <w:rPr>
          <w:rFonts w:ascii="Arial Narrow" w:hAnsi="Arial Narrow"/>
        </w:rPr>
      </w:pPr>
    </w:p>
    <w:p w:rsidR="00281FF6" w:rsidRPr="00A83A9A" w:rsidRDefault="00281FF6" w:rsidP="00281FF6">
      <w:pPr>
        <w:pStyle w:val="Default"/>
        <w:jc w:val="both"/>
        <w:rPr>
          <w:rFonts w:ascii="Arial Narrow" w:hAnsi="Arial Narrow"/>
        </w:rPr>
      </w:pPr>
      <w:r w:rsidRPr="00A83A9A">
        <w:rPr>
          <w:rFonts w:ascii="Arial Narrow" w:hAnsi="Arial Narrow"/>
          <w:b/>
          <w:bCs/>
          <w:i/>
          <w:iCs/>
        </w:rPr>
        <w:t xml:space="preserve">Estimación de la Base Imponible Artículo 199-A del C.T. </w:t>
      </w:r>
      <w:r w:rsidRPr="00A83A9A">
        <w:rPr>
          <w:rFonts w:ascii="Arial Narrow" w:hAnsi="Arial Narrow"/>
          <w:i/>
          <w:iCs/>
        </w:rPr>
        <w:t xml:space="preserve">Se faculta a la Administración Tributaria para </w:t>
      </w:r>
    </w:p>
    <w:p w:rsidR="00281FF6" w:rsidRPr="00A83A9A" w:rsidRDefault="00281FF6" w:rsidP="00281FF6">
      <w:pPr>
        <w:pStyle w:val="Default"/>
        <w:numPr>
          <w:ilvl w:val="0"/>
          <w:numId w:val="2"/>
        </w:numPr>
        <w:spacing w:after="44"/>
        <w:ind w:left="567" w:hanging="207"/>
        <w:jc w:val="both"/>
        <w:rPr>
          <w:rFonts w:ascii="Arial Narrow" w:hAnsi="Arial Narrow"/>
        </w:rPr>
      </w:pPr>
      <w:r w:rsidRPr="00A83A9A">
        <w:rPr>
          <w:rFonts w:ascii="Arial Narrow" w:hAnsi="Arial Narrow"/>
          <w:b/>
          <w:bCs/>
          <w:i/>
          <w:iCs/>
        </w:rPr>
        <w:t>Estimar la base imponible de IVA</w:t>
      </w:r>
      <w:r w:rsidRPr="00A83A9A">
        <w:rPr>
          <w:rFonts w:ascii="Arial Narrow" w:hAnsi="Arial Narrow"/>
          <w:i/>
          <w:iCs/>
        </w:rPr>
        <w:t xml:space="preserve">: si el precio de la transferencia o monto de la remuneración no fueren fidedignos o resultaren inferiores o superiores al corriente de mercado. </w:t>
      </w:r>
    </w:p>
    <w:p w:rsidR="00281FF6" w:rsidRPr="00A83A9A" w:rsidRDefault="00281FF6" w:rsidP="00281FF6">
      <w:pPr>
        <w:pStyle w:val="Default"/>
        <w:numPr>
          <w:ilvl w:val="0"/>
          <w:numId w:val="2"/>
        </w:numPr>
        <w:spacing w:after="44"/>
        <w:ind w:left="567" w:hanging="207"/>
        <w:jc w:val="both"/>
        <w:rPr>
          <w:rFonts w:ascii="Arial Narrow" w:hAnsi="Arial Narrow"/>
        </w:rPr>
      </w:pPr>
      <w:r w:rsidRPr="00A83A9A">
        <w:rPr>
          <w:rFonts w:ascii="Arial Narrow" w:hAnsi="Arial Narrow"/>
          <w:b/>
          <w:bCs/>
          <w:i/>
          <w:iCs/>
        </w:rPr>
        <w:t>Establecer el crédito fiscal</w:t>
      </w:r>
      <w:r w:rsidRPr="00A83A9A">
        <w:rPr>
          <w:rFonts w:ascii="Arial Narrow" w:hAnsi="Arial Narrow"/>
          <w:i/>
          <w:iCs/>
        </w:rPr>
        <w:t xml:space="preserve">: cuando el precio de adquisición, sea superior al corriente de mercado. </w:t>
      </w:r>
    </w:p>
    <w:p w:rsidR="00281FF6" w:rsidRPr="00A83A9A" w:rsidRDefault="00281FF6" w:rsidP="00281FF6">
      <w:pPr>
        <w:pStyle w:val="Default"/>
        <w:numPr>
          <w:ilvl w:val="0"/>
          <w:numId w:val="2"/>
        </w:numPr>
        <w:spacing w:after="44"/>
        <w:ind w:left="567" w:hanging="207"/>
        <w:jc w:val="both"/>
        <w:rPr>
          <w:rFonts w:ascii="Arial Narrow" w:hAnsi="Arial Narrow"/>
        </w:rPr>
      </w:pPr>
      <w:r w:rsidRPr="00A83A9A">
        <w:rPr>
          <w:rFonts w:ascii="Arial Narrow" w:hAnsi="Arial Narrow"/>
          <w:b/>
          <w:bCs/>
          <w:i/>
          <w:iCs/>
        </w:rPr>
        <w:lastRenderedPageBreak/>
        <w:t>Determinar la renta y deducciones del ISR</w:t>
      </w:r>
      <w:r w:rsidRPr="00A83A9A">
        <w:rPr>
          <w:rFonts w:ascii="Arial Narrow" w:hAnsi="Arial Narrow"/>
          <w:i/>
          <w:iCs/>
        </w:rPr>
        <w:t xml:space="preserve">: cuando éstas resulten ser inferiores o superiores a los precios de mercado </w:t>
      </w:r>
    </w:p>
    <w:p w:rsidR="00281FF6" w:rsidRPr="00A83A9A" w:rsidRDefault="00281FF6" w:rsidP="00281FF6">
      <w:pPr>
        <w:pStyle w:val="Default"/>
        <w:jc w:val="both"/>
        <w:rPr>
          <w:rFonts w:ascii="Arial Narrow" w:hAnsi="Arial Narrow"/>
        </w:rPr>
      </w:pPr>
    </w:p>
    <w:p w:rsidR="00281FF6" w:rsidRPr="00A83A9A" w:rsidRDefault="00281FF6" w:rsidP="00281FF6">
      <w:pPr>
        <w:pStyle w:val="Default"/>
        <w:jc w:val="both"/>
        <w:rPr>
          <w:rFonts w:ascii="Arial Narrow" w:hAnsi="Arial Narrow"/>
        </w:rPr>
      </w:pPr>
      <w:r w:rsidRPr="00A83A9A">
        <w:rPr>
          <w:rFonts w:ascii="Arial Narrow" w:hAnsi="Arial Narrow"/>
          <w:b/>
          <w:bCs/>
          <w:i/>
          <w:iCs/>
        </w:rPr>
        <w:t xml:space="preserve">Sujetos Relacionados Artículo 199-C del C.T. </w:t>
      </w:r>
      <w:r w:rsidRPr="00A83A9A">
        <w:rPr>
          <w:rFonts w:ascii="Arial Narrow" w:hAnsi="Arial Narrow"/>
          <w:i/>
          <w:iCs/>
        </w:rPr>
        <w:t xml:space="preserve">Para efectos de lo dispuesto en este Código y demás leyes tributarias se entenderá como sujetos relacionados: </w:t>
      </w:r>
    </w:p>
    <w:p w:rsidR="00281FF6" w:rsidRPr="00A83A9A" w:rsidRDefault="00281FF6" w:rsidP="00281FF6">
      <w:pPr>
        <w:pStyle w:val="Sinespaciado"/>
        <w:numPr>
          <w:ilvl w:val="0"/>
          <w:numId w:val="6"/>
        </w:numPr>
        <w:rPr>
          <w:rFonts w:ascii="Arial Narrow" w:hAnsi="Arial Narrow"/>
          <w:sz w:val="24"/>
          <w:szCs w:val="24"/>
        </w:rPr>
      </w:pPr>
      <w:r w:rsidRPr="00A83A9A">
        <w:rPr>
          <w:rFonts w:ascii="Arial Narrow" w:hAnsi="Arial Narrow"/>
          <w:sz w:val="24"/>
          <w:szCs w:val="24"/>
        </w:rPr>
        <w:t xml:space="preserve">Cuando uno de ellos dirija o controle la otra, o posea, directa o indirectamente, al menos el 25% de su capital social o de sus derechos de voto. </w:t>
      </w:r>
    </w:p>
    <w:p w:rsidR="00281FF6" w:rsidRPr="00A83A9A" w:rsidRDefault="00281FF6" w:rsidP="00281FF6">
      <w:pPr>
        <w:pStyle w:val="Sinespaciado"/>
        <w:rPr>
          <w:rFonts w:ascii="Arial Narrow" w:hAnsi="Arial Narrow"/>
          <w:sz w:val="24"/>
          <w:szCs w:val="24"/>
        </w:rPr>
      </w:pPr>
    </w:p>
    <w:p w:rsidR="00281FF6" w:rsidRPr="00A83A9A" w:rsidRDefault="00281FF6" w:rsidP="00281FF6">
      <w:pPr>
        <w:pStyle w:val="Sinespaciado"/>
        <w:numPr>
          <w:ilvl w:val="0"/>
          <w:numId w:val="6"/>
        </w:numPr>
        <w:rPr>
          <w:rFonts w:ascii="Arial Narrow" w:hAnsi="Arial Narrow"/>
          <w:sz w:val="24"/>
          <w:szCs w:val="24"/>
        </w:rPr>
      </w:pPr>
      <w:r w:rsidRPr="00A83A9A">
        <w:rPr>
          <w:rFonts w:ascii="Arial Narrow" w:hAnsi="Arial Narrow"/>
          <w:sz w:val="24"/>
          <w:szCs w:val="24"/>
        </w:rPr>
        <w:t>Cuando cinco o menos personas dirijan o controlen ambas personas, o posean en su conjunto, directa o indirectamente, al menos el 25% de participación en el capital social o los derechos de voto de ambas personas.</w:t>
      </w:r>
    </w:p>
    <w:p w:rsidR="00281FF6" w:rsidRPr="00A83A9A" w:rsidRDefault="00281FF6" w:rsidP="00281FF6">
      <w:pPr>
        <w:pStyle w:val="Sinespaciado"/>
        <w:ind w:firstLine="30"/>
        <w:rPr>
          <w:rFonts w:ascii="Arial Narrow" w:hAnsi="Arial Narrow"/>
          <w:sz w:val="24"/>
          <w:szCs w:val="24"/>
        </w:rPr>
      </w:pPr>
    </w:p>
    <w:p w:rsidR="00281FF6" w:rsidRPr="00A83A9A" w:rsidRDefault="00281FF6" w:rsidP="00281FF6">
      <w:pPr>
        <w:pStyle w:val="Sinespaciado"/>
        <w:numPr>
          <w:ilvl w:val="0"/>
          <w:numId w:val="6"/>
        </w:numPr>
        <w:rPr>
          <w:rFonts w:ascii="Arial Narrow" w:hAnsi="Arial Narrow"/>
          <w:sz w:val="24"/>
          <w:szCs w:val="24"/>
        </w:rPr>
      </w:pPr>
      <w:r w:rsidRPr="00A83A9A">
        <w:rPr>
          <w:rFonts w:ascii="Arial Narrow" w:hAnsi="Arial Narrow"/>
          <w:sz w:val="24"/>
          <w:szCs w:val="24"/>
        </w:rPr>
        <w:t xml:space="preserve">Cuando sean sociedades que pertenezcan a una misma unidad de decisión o grupo empresarial. </w:t>
      </w:r>
    </w:p>
    <w:p w:rsidR="00281FF6" w:rsidRPr="00A83A9A" w:rsidRDefault="00281FF6" w:rsidP="00281FF6">
      <w:pPr>
        <w:pStyle w:val="Sinespaciado"/>
        <w:rPr>
          <w:rFonts w:ascii="Arial Narrow" w:hAnsi="Arial Narrow"/>
          <w:sz w:val="24"/>
          <w:szCs w:val="24"/>
        </w:rPr>
      </w:pPr>
    </w:p>
    <w:p w:rsidR="00281FF6" w:rsidRPr="00A83A9A" w:rsidRDefault="00281FF6" w:rsidP="00281FF6">
      <w:pPr>
        <w:pStyle w:val="Sinespaciado"/>
        <w:numPr>
          <w:ilvl w:val="0"/>
          <w:numId w:val="6"/>
        </w:numPr>
        <w:rPr>
          <w:rFonts w:ascii="Arial Narrow" w:hAnsi="Arial Narrow"/>
          <w:sz w:val="24"/>
          <w:szCs w:val="24"/>
        </w:rPr>
      </w:pPr>
      <w:r w:rsidRPr="00A83A9A">
        <w:rPr>
          <w:rFonts w:ascii="Arial Narrow" w:hAnsi="Arial Narrow"/>
          <w:sz w:val="24"/>
          <w:szCs w:val="24"/>
        </w:rPr>
        <w:t xml:space="preserve">A los efectos de los literales anteriores, también se considera que una persona natural posee una participación en el capital social o derechos de voto, cuando la titularidad de la participación directa o indirectamente, corresponde al cónyuge o persona unida por relación de parentesco en línea directa o colateral, por consanguinidad hasta el cuarto grado o por afinidad hasta el segundo grado. </w:t>
      </w:r>
    </w:p>
    <w:p w:rsidR="00281FF6" w:rsidRPr="00A83A9A" w:rsidRDefault="00281FF6" w:rsidP="00281FF6">
      <w:pPr>
        <w:pStyle w:val="Sinespaciado"/>
        <w:rPr>
          <w:rFonts w:ascii="Arial Narrow" w:hAnsi="Arial Narrow"/>
          <w:sz w:val="24"/>
          <w:szCs w:val="24"/>
        </w:rPr>
      </w:pPr>
    </w:p>
    <w:p w:rsidR="00281FF6" w:rsidRPr="00A83A9A" w:rsidRDefault="00281FF6" w:rsidP="00281FF6">
      <w:pPr>
        <w:pStyle w:val="Sinespaciado"/>
        <w:numPr>
          <w:ilvl w:val="0"/>
          <w:numId w:val="6"/>
        </w:numPr>
        <w:rPr>
          <w:rFonts w:ascii="Arial Narrow" w:hAnsi="Arial Narrow"/>
          <w:sz w:val="24"/>
          <w:szCs w:val="24"/>
        </w:rPr>
      </w:pPr>
      <w:r w:rsidRPr="00A83A9A">
        <w:rPr>
          <w:rFonts w:ascii="Arial Narrow" w:hAnsi="Arial Narrow"/>
          <w:sz w:val="24"/>
          <w:szCs w:val="24"/>
        </w:rPr>
        <w:t xml:space="preserve">En una unión de personas, sociedad de hecho o contrato de colaboración empresarial o un contrato de asociación en participación, cuando alguno de los contratantes o asociados participe directa o indirectamente en más del 25% por ciento en el resultado o utilidad del contrato o de las actividades derivadas de la asociación. </w:t>
      </w:r>
    </w:p>
    <w:p w:rsidR="00281FF6" w:rsidRPr="00A83A9A" w:rsidRDefault="00C566D6" w:rsidP="00C566D6">
      <w:pPr>
        <w:pStyle w:val="Sinespaciado"/>
        <w:tabs>
          <w:tab w:val="left" w:pos="6078"/>
        </w:tabs>
        <w:rPr>
          <w:rFonts w:ascii="Arial Narrow" w:hAnsi="Arial Narrow"/>
          <w:sz w:val="24"/>
          <w:szCs w:val="24"/>
        </w:rPr>
      </w:pPr>
      <w:r w:rsidRPr="00A83A9A">
        <w:rPr>
          <w:rFonts w:ascii="Arial Narrow" w:hAnsi="Arial Narrow"/>
          <w:sz w:val="24"/>
          <w:szCs w:val="24"/>
        </w:rPr>
        <w:tab/>
      </w:r>
    </w:p>
    <w:p w:rsidR="00C566D6" w:rsidRPr="00A83A9A" w:rsidRDefault="00A83A9A" w:rsidP="00C566D6">
      <w:pPr>
        <w:pStyle w:val="Sinespaciado"/>
        <w:tabs>
          <w:tab w:val="left" w:pos="6078"/>
        </w:tabs>
        <w:rPr>
          <w:rFonts w:ascii="Arial Narrow" w:hAnsi="Arial Narrow"/>
          <w:sz w:val="24"/>
          <w:szCs w:val="24"/>
        </w:rPr>
      </w:pPr>
      <w:r w:rsidRPr="00A83A9A">
        <w:rPr>
          <w:rFonts w:ascii="Arial Narrow" w:hAnsi="Arial Narrow"/>
          <w:b/>
          <w:bCs/>
          <w:sz w:val="24"/>
          <w:szCs w:val="24"/>
        </w:rPr>
        <w:t>FACTORES DE COMPARABILIDAD</w:t>
      </w:r>
    </w:p>
    <w:p w:rsidR="0045086E" w:rsidRPr="00A83A9A" w:rsidRDefault="00C566D6" w:rsidP="00C566D6">
      <w:pPr>
        <w:pStyle w:val="Sinespaciado"/>
        <w:numPr>
          <w:ilvl w:val="0"/>
          <w:numId w:val="7"/>
        </w:numPr>
        <w:rPr>
          <w:rFonts w:ascii="Arial Narrow" w:hAnsi="Arial Narrow"/>
          <w:b/>
          <w:bCs/>
          <w:sz w:val="24"/>
          <w:szCs w:val="24"/>
        </w:rPr>
      </w:pPr>
      <w:r w:rsidRPr="00A83A9A">
        <w:rPr>
          <w:rFonts w:ascii="Arial Narrow" w:hAnsi="Arial Narrow"/>
          <w:b/>
          <w:bCs/>
          <w:sz w:val="24"/>
          <w:szCs w:val="24"/>
        </w:rPr>
        <w:t>Características de las operaciones</w:t>
      </w:r>
    </w:p>
    <w:tbl>
      <w:tblPr>
        <w:tblStyle w:val="Tablaconcuadrcula"/>
        <w:tblW w:w="9747" w:type="dxa"/>
        <w:tblLook w:val="04A0"/>
      </w:tblPr>
      <w:tblGrid>
        <w:gridCol w:w="2518"/>
        <w:gridCol w:w="3544"/>
        <w:gridCol w:w="3685"/>
      </w:tblGrid>
      <w:tr w:rsidR="00A83A9A" w:rsidRPr="009D4312" w:rsidTr="009D4312">
        <w:tc>
          <w:tcPr>
            <w:tcW w:w="2518" w:type="dxa"/>
          </w:tcPr>
          <w:p w:rsidR="00A83A9A" w:rsidRPr="009D4312" w:rsidRDefault="00A83A9A" w:rsidP="000A078D">
            <w:pPr>
              <w:pStyle w:val="Default"/>
              <w:rPr>
                <w:rFonts w:ascii="Arial Narrow" w:hAnsi="Arial Narrow"/>
                <w:sz w:val="22"/>
                <w:szCs w:val="22"/>
              </w:rPr>
            </w:pPr>
            <w:r w:rsidRPr="009D4312">
              <w:rPr>
                <w:rFonts w:ascii="Arial Narrow" w:hAnsi="Arial Narrow"/>
                <w:b/>
                <w:bCs/>
                <w:sz w:val="22"/>
                <w:szCs w:val="22"/>
              </w:rPr>
              <w:t xml:space="preserve">TRANSFERENCIA DE BIENES MATERIALES </w:t>
            </w:r>
          </w:p>
        </w:tc>
        <w:tc>
          <w:tcPr>
            <w:tcW w:w="3544" w:type="dxa"/>
          </w:tcPr>
          <w:p w:rsidR="00A83A9A" w:rsidRPr="009D4312" w:rsidRDefault="00A83A9A" w:rsidP="00A83A9A">
            <w:pPr>
              <w:pStyle w:val="Default"/>
              <w:rPr>
                <w:rFonts w:ascii="Arial Narrow" w:hAnsi="Arial Narrow"/>
                <w:sz w:val="22"/>
                <w:szCs w:val="22"/>
              </w:rPr>
            </w:pPr>
            <w:r w:rsidRPr="009D4312">
              <w:rPr>
                <w:rFonts w:ascii="Arial Narrow" w:hAnsi="Arial Narrow"/>
                <w:b/>
                <w:bCs/>
                <w:sz w:val="22"/>
                <w:szCs w:val="22"/>
              </w:rPr>
              <w:t xml:space="preserve">PRESTACION DE SERVICIO </w:t>
            </w:r>
          </w:p>
          <w:p w:rsidR="00A83A9A" w:rsidRPr="009D4312" w:rsidRDefault="00A83A9A" w:rsidP="00A83A9A">
            <w:pPr>
              <w:pStyle w:val="Default"/>
              <w:rPr>
                <w:rFonts w:ascii="Arial Narrow" w:hAnsi="Arial Narrow"/>
                <w:sz w:val="22"/>
                <w:szCs w:val="22"/>
              </w:rPr>
            </w:pPr>
          </w:p>
        </w:tc>
        <w:tc>
          <w:tcPr>
            <w:tcW w:w="3685" w:type="dxa"/>
          </w:tcPr>
          <w:p w:rsidR="00A83A9A" w:rsidRPr="009D4312" w:rsidRDefault="00A83A9A" w:rsidP="00A83A9A">
            <w:pPr>
              <w:pStyle w:val="Default"/>
              <w:rPr>
                <w:rFonts w:ascii="Arial Narrow" w:hAnsi="Arial Narrow"/>
                <w:sz w:val="22"/>
                <w:szCs w:val="22"/>
              </w:rPr>
            </w:pPr>
            <w:r w:rsidRPr="009D4312">
              <w:rPr>
                <w:rFonts w:ascii="Arial Narrow" w:hAnsi="Arial Narrow"/>
                <w:b/>
                <w:bCs/>
                <w:sz w:val="22"/>
                <w:szCs w:val="22"/>
              </w:rPr>
              <w:t xml:space="preserve">BIENES INTANGIBLES </w:t>
            </w:r>
          </w:p>
          <w:p w:rsidR="00A83A9A" w:rsidRPr="009D4312" w:rsidRDefault="00A83A9A" w:rsidP="00A83A9A">
            <w:pPr>
              <w:pStyle w:val="Default"/>
              <w:rPr>
                <w:rFonts w:ascii="Arial Narrow" w:hAnsi="Arial Narrow"/>
                <w:sz w:val="22"/>
                <w:szCs w:val="22"/>
              </w:rPr>
            </w:pPr>
          </w:p>
        </w:tc>
      </w:tr>
      <w:tr w:rsidR="00A83A9A" w:rsidRPr="009D4312" w:rsidTr="009D4312">
        <w:tc>
          <w:tcPr>
            <w:tcW w:w="2518" w:type="dxa"/>
          </w:tcPr>
          <w:p w:rsidR="00A83A9A" w:rsidRPr="009D4312" w:rsidRDefault="00A83A9A" w:rsidP="000A078D">
            <w:pPr>
              <w:pStyle w:val="Default"/>
              <w:spacing w:after="61"/>
              <w:rPr>
                <w:rFonts w:ascii="Arial Narrow" w:hAnsi="Arial Narrow"/>
                <w:sz w:val="22"/>
                <w:szCs w:val="22"/>
              </w:rPr>
            </w:pPr>
            <w:r w:rsidRPr="009D4312">
              <w:rPr>
                <w:rFonts w:ascii="Arial Narrow" w:hAnsi="Arial Narrow"/>
                <w:sz w:val="22"/>
                <w:szCs w:val="22"/>
              </w:rPr>
              <w:t xml:space="preserve">•Características físicas </w:t>
            </w:r>
          </w:p>
        </w:tc>
        <w:tc>
          <w:tcPr>
            <w:tcW w:w="3544" w:type="dxa"/>
          </w:tcPr>
          <w:p w:rsidR="00A83A9A" w:rsidRPr="009D4312" w:rsidRDefault="00A83A9A" w:rsidP="00A83A9A">
            <w:pPr>
              <w:pStyle w:val="Default"/>
              <w:rPr>
                <w:rFonts w:ascii="Arial Narrow" w:hAnsi="Arial Narrow"/>
                <w:sz w:val="22"/>
                <w:szCs w:val="22"/>
              </w:rPr>
            </w:pPr>
            <w:r w:rsidRPr="009D4312">
              <w:rPr>
                <w:rFonts w:ascii="Arial Narrow" w:hAnsi="Arial Narrow"/>
                <w:sz w:val="22"/>
                <w:szCs w:val="22"/>
              </w:rPr>
              <w:t xml:space="preserve">•Naturaleza </w:t>
            </w:r>
          </w:p>
        </w:tc>
        <w:tc>
          <w:tcPr>
            <w:tcW w:w="3685" w:type="dxa"/>
          </w:tcPr>
          <w:p w:rsidR="00A83A9A" w:rsidRPr="009D4312" w:rsidRDefault="00A83A9A" w:rsidP="00A83A9A">
            <w:pPr>
              <w:pStyle w:val="Default"/>
              <w:spacing w:after="59"/>
              <w:rPr>
                <w:rFonts w:ascii="Arial Narrow" w:hAnsi="Arial Narrow"/>
                <w:sz w:val="22"/>
                <w:szCs w:val="22"/>
              </w:rPr>
            </w:pPr>
            <w:r w:rsidRPr="009D4312">
              <w:rPr>
                <w:rFonts w:ascii="Arial Narrow" w:hAnsi="Arial Narrow"/>
                <w:sz w:val="22"/>
                <w:szCs w:val="22"/>
              </w:rPr>
              <w:t xml:space="preserve">•Forma de la transacción (licencia o venta) </w:t>
            </w:r>
          </w:p>
        </w:tc>
      </w:tr>
      <w:tr w:rsidR="00A83A9A" w:rsidRPr="009D4312" w:rsidTr="009D4312">
        <w:tc>
          <w:tcPr>
            <w:tcW w:w="2518" w:type="dxa"/>
          </w:tcPr>
          <w:p w:rsidR="00A83A9A" w:rsidRPr="009D4312" w:rsidRDefault="00A83A9A" w:rsidP="000A078D">
            <w:pPr>
              <w:pStyle w:val="Default"/>
              <w:spacing w:after="61"/>
              <w:rPr>
                <w:rFonts w:ascii="Arial Narrow" w:hAnsi="Arial Narrow"/>
                <w:sz w:val="22"/>
                <w:szCs w:val="22"/>
              </w:rPr>
            </w:pPr>
            <w:r w:rsidRPr="009D4312">
              <w:rPr>
                <w:rFonts w:ascii="Arial Narrow" w:hAnsi="Arial Narrow"/>
                <w:sz w:val="22"/>
                <w:szCs w:val="22"/>
              </w:rPr>
              <w:t xml:space="preserve">•Calidad </w:t>
            </w:r>
          </w:p>
        </w:tc>
        <w:tc>
          <w:tcPr>
            <w:tcW w:w="3544" w:type="dxa"/>
          </w:tcPr>
          <w:p w:rsidR="00A83A9A" w:rsidRPr="009D4312" w:rsidRDefault="00A83A9A" w:rsidP="00A83A9A">
            <w:pPr>
              <w:pStyle w:val="Default"/>
              <w:rPr>
                <w:rFonts w:ascii="Arial Narrow" w:hAnsi="Arial Narrow"/>
                <w:sz w:val="22"/>
                <w:szCs w:val="22"/>
              </w:rPr>
            </w:pPr>
            <w:r w:rsidRPr="009D4312">
              <w:rPr>
                <w:rFonts w:ascii="Arial Narrow" w:hAnsi="Arial Narrow"/>
                <w:sz w:val="22"/>
                <w:szCs w:val="22"/>
              </w:rPr>
              <w:t xml:space="preserve">•Duración </w:t>
            </w:r>
          </w:p>
        </w:tc>
        <w:tc>
          <w:tcPr>
            <w:tcW w:w="3685" w:type="dxa"/>
          </w:tcPr>
          <w:p w:rsidR="00A83A9A" w:rsidRPr="009D4312" w:rsidRDefault="00A83A9A" w:rsidP="00A83A9A">
            <w:pPr>
              <w:pStyle w:val="Default"/>
              <w:spacing w:after="59"/>
              <w:rPr>
                <w:rFonts w:ascii="Arial Narrow" w:hAnsi="Arial Narrow"/>
                <w:sz w:val="22"/>
                <w:szCs w:val="22"/>
              </w:rPr>
            </w:pPr>
            <w:r w:rsidRPr="009D4312">
              <w:rPr>
                <w:rFonts w:ascii="Arial Narrow" w:hAnsi="Arial Narrow"/>
                <w:sz w:val="22"/>
                <w:szCs w:val="22"/>
              </w:rPr>
              <w:t xml:space="preserve">•Clase de derechos (industrial o intelectual) </w:t>
            </w:r>
          </w:p>
        </w:tc>
      </w:tr>
      <w:tr w:rsidR="00A83A9A" w:rsidRPr="009D4312" w:rsidTr="009D4312">
        <w:tc>
          <w:tcPr>
            <w:tcW w:w="2518" w:type="dxa"/>
          </w:tcPr>
          <w:p w:rsidR="00A83A9A" w:rsidRPr="009D4312" w:rsidRDefault="00A83A9A" w:rsidP="000A078D">
            <w:pPr>
              <w:pStyle w:val="Default"/>
              <w:spacing w:after="61"/>
              <w:rPr>
                <w:rFonts w:ascii="Arial Narrow" w:hAnsi="Arial Narrow"/>
                <w:sz w:val="22"/>
                <w:szCs w:val="22"/>
              </w:rPr>
            </w:pPr>
            <w:r w:rsidRPr="009D4312">
              <w:rPr>
                <w:rFonts w:ascii="Arial Narrow" w:hAnsi="Arial Narrow"/>
                <w:sz w:val="22"/>
                <w:szCs w:val="22"/>
              </w:rPr>
              <w:t xml:space="preserve">•Disponibilidad </w:t>
            </w:r>
          </w:p>
        </w:tc>
        <w:tc>
          <w:tcPr>
            <w:tcW w:w="3544" w:type="dxa"/>
          </w:tcPr>
          <w:p w:rsidR="00A83A9A" w:rsidRPr="009D4312" w:rsidRDefault="00A83A9A" w:rsidP="00A83A9A">
            <w:pPr>
              <w:pStyle w:val="Default"/>
              <w:rPr>
                <w:rFonts w:ascii="Arial Narrow" w:hAnsi="Arial Narrow"/>
                <w:sz w:val="22"/>
                <w:szCs w:val="22"/>
              </w:rPr>
            </w:pPr>
            <w:r w:rsidRPr="009D4312">
              <w:rPr>
                <w:rFonts w:ascii="Arial Narrow" w:hAnsi="Arial Narrow"/>
                <w:sz w:val="22"/>
                <w:szCs w:val="22"/>
              </w:rPr>
              <w:t xml:space="preserve">•Involucramiento o no una experiencia o conocimiento técnico </w:t>
            </w:r>
          </w:p>
        </w:tc>
        <w:tc>
          <w:tcPr>
            <w:tcW w:w="3685" w:type="dxa"/>
          </w:tcPr>
          <w:p w:rsidR="00A83A9A" w:rsidRPr="009D4312" w:rsidRDefault="00A83A9A" w:rsidP="00A83A9A">
            <w:pPr>
              <w:pStyle w:val="Default"/>
              <w:spacing w:after="59"/>
              <w:rPr>
                <w:rFonts w:ascii="Arial Narrow" w:hAnsi="Arial Narrow"/>
                <w:sz w:val="22"/>
                <w:szCs w:val="22"/>
              </w:rPr>
            </w:pPr>
            <w:r w:rsidRPr="009D4312">
              <w:rPr>
                <w:rFonts w:ascii="Arial Narrow" w:hAnsi="Arial Narrow"/>
                <w:sz w:val="22"/>
                <w:szCs w:val="22"/>
              </w:rPr>
              <w:t xml:space="preserve">•Duración </w:t>
            </w:r>
          </w:p>
        </w:tc>
      </w:tr>
      <w:tr w:rsidR="00A83A9A" w:rsidRPr="009D4312" w:rsidTr="009D4312">
        <w:tc>
          <w:tcPr>
            <w:tcW w:w="2518" w:type="dxa"/>
          </w:tcPr>
          <w:p w:rsidR="00A83A9A" w:rsidRPr="009D4312" w:rsidRDefault="00A83A9A" w:rsidP="000A078D">
            <w:pPr>
              <w:pStyle w:val="Default"/>
              <w:rPr>
                <w:rFonts w:ascii="Arial Narrow" w:hAnsi="Arial Narrow"/>
                <w:sz w:val="22"/>
                <w:szCs w:val="22"/>
              </w:rPr>
            </w:pPr>
            <w:r w:rsidRPr="009D4312">
              <w:rPr>
                <w:rFonts w:ascii="Arial Narrow" w:hAnsi="Arial Narrow"/>
                <w:sz w:val="22"/>
                <w:szCs w:val="22"/>
              </w:rPr>
              <w:t xml:space="preserve">•Volumen de suministro </w:t>
            </w:r>
          </w:p>
        </w:tc>
        <w:tc>
          <w:tcPr>
            <w:tcW w:w="3544" w:type="dxa"/>
          </w:tcPr>
          <w:p w:rsidR="00A83A9A" w:rsidRPr="009D4312" w:rsidRDefault="00A83A9A" w:rsidP="00A83A9A">
            <w:pPr>
              <w:pStyle w:val="Default"/>
              <w:rPr>
                <w:rFonts w:ascii="Arial Narrow" w:hAnsi="Arial Narrow"/>
                <w:sz w:val="22"/>
                <w:szCs w:val="22"/>
              </w:rPr>
            </w:pPr>
          </w:p>
        </w:tc>
        <w:tc>
          <w:tcPr>
            <w:tcW w:w="3685" w:type="dxa"/>
          </w:tcPr>
          <w:p w:rsidR="00A83A9A" w:rsidRPr="009D4312" w:rsidRDefault="00A83A9A" w:rsidP="00A83A9A">
            <w:pPr>
              <w:pStyle w:val="Default"/>
              <w:spacing w:after="59"/>
              <w:rPr>
                <w:rFonts w:ascii="Arial Narrow" w:hAnsi="Arial Narrow"/>
                <w:sz w:val="22"/>
                <w:szCs w:val="22"/>
              </w:rPr>
            </w:pPr>
            <w:r w:rsidRPr="009D4312">
              <w:rPr>
                <w:rFonts w:ascii="Arial Narrow" w:hAnsi="Arial Narrow"/>
                <w:sz w:val="22"/>
                <w:szCs w:val="22"/>
              </w:rPr>
              <w:t xml:space="preserve">•Grado de protección </w:t>
            </w:r>
          </w:p>
        </w:tc>
      </w:tr>
      <w:tr w:rsidR="00A83A9A" w:rsidRPr="009D4312" w:rsidTr="009D4312">
        <w:tc>
          <w:tcPr>
            <w:tcW w:w="2518" w:type="dxa"/>
          </w:tcPr>
          <w:p w:rsidR="00A83A9A" w:rsidRPr="009D4312" w:rsidRDefault="00A83A9A" w:rsidP="000A078D">
            <w:pPr>
              <w:pStyle w:val="Default"/>
              <w:rPr>
                <w:rFonts w:ascii="Arial Narrow" w:hAnsi="Arial Narrow"/>
                <w:sz w:val="22"/>
                <w:szCs w:val="22"/>
              </w:rPr>
            </w:pPr>
          </w:p>
        </w:tc>
        <w:tc>
          <w:tcPr>
            <w:tcW w:w="3544" w:type="dxa"/>
          </w:tcPr>
          <w:p w:rsidR="00A83A9A" w:rsidRPr="009D4312" w:rsidRDefault="00A83A9A" w:rsidP="00A83A9A">
            <w:pPr>
              <w:pStyle w:val="Default"/>
              <w:rPr>
                <w:rFonts w:ascii="Arial Narrow" w:hAnsi="Arial Narrow"/>
                <w:sz w:val="22"/>
                <w:szCs w:val="22"/>
              </w:rPr>
            </w:pPr>
          </w:p>
        </w:tc>
        <w:tc>
          <w:tcPr>
            <w:tcW w:w="3685" w:type="dxa"/>
          </w:tcPr>
          <w:p w:rsidR="00A83A9A" w:rsidRPr="009D4312" w:rsidRDefault="00A83A9A" w:rsidP="00A83A9A">
            <w:pPr>
              <w:pStyle w:val="Default"/>
              <w:rPr>
                <w:rFonts w:ascii="Arial Narrow" w:hAnsi="Arial Narrow"/>
                <w:sz w:val="22"/>
                <w:szCs w:val="22"/>
              </w:rPr>
            </w:pPr>
            <w:r w:rsidRPr="009D4312">
              <w:rPr>
                <w:rFonts w:ascii="Arial Narrow" w:hAnsi="Arial Narrow"/>
                <w:sz w:val="22"/>
                <w:szCs w:val="22"/>
              </w:rPr>
              <w:t xml:space="preserve">•Beneficios </w:t>
            </w:r>
          </w:p>
        </w:tc>
      </w:tr>
    </w:tbl>
    <w:p w:rsidR="00C566D6" w:rsidRPr="00A83A9A" w:rsidRDefault="00C566D6" w:rsidP="00C566D6">
      <w:pPr>
        <w:pStyle w:val="Sinespaciado"/>
        <w:rPr>
          <w:rFonts w:ascii="Arial Narrow" w:hAnsi="Arial Narrow"/>
          <w:b/>
          <w:sz w:val="24"/>
          <w:szCs w:val="24"/>
        </w:rPr>
      </w:pPr>
    </w:p>
    <w:p w:rsidR="00C566D6" w:rsidRPr="00A83A9A" w:rsidRDefault="00C566D6" w:rsidP="00C566D6">
      <w:pPr>
        <w:pStyle w:val="Sinespaciado"/>
        <w:numPr>
          <w:ilvl w:val="0"/>
          <w:numId w:val="7"/>
        </w:numPr>
        <w:rPr>
          <w:rFonts w:ascii="Arial Narrow" w:hAnsi="Arial Narrow"/>
          <w:b/>
          <w:bCs/>
          <w:sz w:val="24"/>
          <w:szCs w:val="24"/>
        </w:rPr>
      </w:pPr>
      <w:r w:rsidRPr="00A83A9A">
        <w:rPr>
          <w:rFonts w:ascii="Arial Narrow" w:hAnsi="Arial Narrow"/>
          <w:b/>
          <w:bCs/>
          <w:sz w:val="24"/>
          <w:szCs w:val="24"/>
        </w:rPr>
        <w:t>Análisis de las Funciones , Activos y Riesgos</w:t>
      </w:r>
    </w:p>
    <w:p w:rsidR="00A83A9A" w:rsidRPr="00A83A9A" w:rsidRDefault="00A83A9A" w:rsidP="00C566D6">
      <w:pPr>
        <w:pStyle w:val="Sinespaciado"/>
        <w:rPr>
          <w:rFonts w:ascii="Arial Narrow" w:hAnsi="Arial Narrow"/>
          <w:b/>
          <w:bCs/>
          <w:sz w:val="24"/>
          <w:szCs w:val="24"/>
        </w:rPr>
      </w:pPr>
    </w:p>
    <w:tbl>
      <w:tblPr>
        <w:tblStyle w:val="Tablaconcuadrcula"/>
        <w:tblW w:w="9606" w:type="dxa"/>
        <w:tblLook w:val="04A0"/>
      </w:tblPr>
      <w:tblGrid>
        <w:gridCol w:w="2235"/>
        <w:gridCol w:w="3402"/>
        <w:gridCol w:w="3969"/>
      </w:tblGrid>
      <w:tr w:rsidR="00A83A9A" w:rsidRPr="009D4312" w:rsidTr="00A83A9A">
        <w:tc>
          <w:tcPr>
            <w:tcW w:w="2235" w:type="dxa"/>
          </w:tcPr>
          <w:p w:rsidR="00A83A9A" w:rsidRPr="009D4312" w:rsidRDefault="00A83A9A" w:rsidP="00354B4F">
            <w:pPr>
              <w:pStyle w:val="Default"/>
              <w:rPr>
                <w:rFonts w:ascii="Arial Narrow" w:hAnsi="Arial Narrow"/>
                <w:sz w:val="22"/>
                <w:szCs w:val="22"/>
              </w:rPr>
            </w:pPr>
            <w:r w:rsidRPr="009D4312">
              <w:rPr>
                <w:rFonts w:ascii="Arial Narrow" w:hAnsi="Arial Narrow"/>
                <w:b/>
                <w:bCs/>
                <w:sz w:val="22"/>
                <w:szCs w:val="22"/>
              </w:rPr>
              <w:t xml:space="preserve">FUNCIONES </w:t>
            </w:r>
          </w:p>
        </w:tc>
        <w:tc>
          <w:tcPr>
            <w:tcW w:w="3402" w:type="dxa"/>
          </w:tcPr>
          <w:p w:rsidR="00A83A9A" w:rsidRPr="009D4312" w:rsidRDefault="00A83A9A" w:rsidP="00A83A9A">
            <w:pPr>
              <w:pStyle w:val="Default"/>
              <w:rPr>
                <w:rFonts w:ascii="Arial Narrow" w:hAnsi="Arial Narrow"/>
                <w:sz w:val="22"/>
                <w:szCs w:val="22"/>
              </w:rPr>
            </w:pPr>
            <w:r w:rsidRPr="009D4312">
              <w:rPr>
                <w:rFonts w:ascii="Arial Narrow" w:hAnsi="Arial Narrow"/>
                <w:b/>
                <w:bCs/>
                <w:sz w:val="22"/>
                <w:szCs w:val="22"/>
              </w:rPr>
              <w:t xml:space="preserve">ACTIVOS UTILIZADOS </w:t>
            </w:r>
          </w:p>
        </w:tc>
        <w:tc>
          <w:tcPr>
            <w:tcW w:w="3969" w:type="dxa"/>
          </w:tcPr>
          <w:p w:rsidR="00A83A9A" w:rsidRPr="009D4312" w:rsidRDefault="00A83A9A" w:rsidP="00A83A9A">
            <w:pPr>
              <w:pStyle w:val="Default"/>
              <w:rPr>
                <w:rFonts w:ascii="Arial Narrow" w:hAnsi="Arial Narrow"/>
                <w:sz w:val="22"/>
                <w:szCs w:val="22"/>
              </w:rPr>
            </w:pPr>
            <w:r w:rsidRPr="009D4312">
              <w:rPr>
                <w:rFonts w:ascii="Arial Narrow" w:hAnsi="Arial Narrow"/>
                <w:b/>
                <w:bCs/>
                <w:sz w:val="22"/>
                <w:szCs w:val="22"/>
              </w:rPr>
              <w:t xml:space="preserve">RIESGOS ASUMIDOS </w:t>
            </w:r>
          </w:p>
        </w:tc>
      </w:tr>
      <w:tr w:rsidR="00A83A9A" w:rsidRPr="009D4312" w:rsidTr="00A83A9A">
        <w:tc>
          <w:tcPr>
            <w:tcW w:w="2235" w:type="dxa"/>
          </w:tcPr>
          <w:p w:rsidR="00A83A9A" w:rsidRPr="009D4312" w:rsidRDefault="00A83A9A" w:rsidP="00354B4F">
            <w:pPr>
              <w:pStyle w:val="Default"/>
              <w:spacing w:after="61"/>
              <w:rPr>
                <w:rFonts w:ascii="Arial Narrow" w:hAnsi="Arial Narrow"/>
                <w:sz w:val="22"/>
                <w:szCs w:val="22"/>
              </w:rPr>
            </w:pPr>
            <w:r w:rsidRPr="009D4312">
              <w:rPr>
                <w:rFonts w:ascii="Arial Narrow" w:hAnsi="Arial Narrow"/>
                <w:sz w:val="22"/>
                <w:szCs w:val="22"/>
              </w:rPr>
              <w:t xml:space="preserve">•Diseño </w:t>
            </w:r>
          </w:p>
        </w:tc>
        <w:tc>
          <w:tcPr>
            <w:tcW w:w="3402" w:type="dxa"/>
          </w:tcPr>
          <w:p w:rsidR="00A83A9A" w:rsidRPr="009D4312" w:rsidRDefault="00A83A9A" w:rsidP="00A83A9A">
            <w:pPr>
              <w:pStyle w:val="Sinespaciado"/>
            </w:pPr>
            <w:r w:rsidRPr="009D4312">
              <w:t xml:space="preserve">•Tipo de activo </w:t>
            </w:r>
          </w:p>
        </w:tc>
        <w:tc>
          <w:tcPr>
            <w:tcW w:w="3969" w:type="dxa"/>
          </w:tcPr>
          <w:p w:rsidR="00A83A9A" w:rsidRPr="009D4312" w:rsidRDefault="00A83A9A" w:rsidP="00A83A9A">
            <w:pPr>
              <w:pStyle w:val="Sinespaciado"/>
            </w:pPr>
            <w:r w:rsidRPr="009D4312">
              <w:t xml:space="preserve">•Fluctuaciones en el precio </w:t>
            </w:r>
          </w:p>
        </w:tc>
      </w:tr>
      <w:tr w:rsidR="00A83A9A" w:rsidRPr="009D4312" w:rsidTr="00A83A9A">
        <w:tc>
          <w:tcPr>
            <w:tcW w:w="2235" w:type="dxa"/>
          </w:tcPr>
          <w:p w:rsidR="00A83A9A" w:rsidRPr="009D4312" w:rsidRDefault="00A83A9A" w:rsidP="00354B4F">
            <w:pPr>
              <w:pStyle w:val="Default"/>
              <w:spacing w:after="61"/>
              <w:rPr>
                <w:rFonts w:ascii="Arial Narrow" w:hAnsi="Arial Narrow"/>
                <w:sz w:val="22"/>
                <w:szCs w:val="22"/>
              </w:rPr>
            </w:pPr>
            <w:r w:rsidRPr="009D4312">
              <w:rPr>
                <w:rFonts w:ascii="Arial Narrow" w:hAnsi="Arial Narrow"/>
                <w:sz w:val="22"/>
                <w:szCs w:val="22"/>
              </w:rPr>
              <w:t xml:space="preserve">•Fabricación </w:t>
            </w:r>
          </w:p>
        </w:tc>
        <w:tc>
          <w:tcPr>
            <w:tcW w:w="3402" w:type="dxa"/>
          </w:tcPr>
          <w:p w:rsidR="00A83A9A" w:rsidRPr="009D4312" w:rsidRDefault="00A83A9A" w:rsidP="00A83A9A">
            <w:pPr>
              <w:pStyle w:val="Sinespaciado"/>
            </w:pPr>
            <w:r w:rsidRPr="009D4312">
              <w:t xml:space="preserve">•Capacidad de producción que genera </w:t>
            </w:r>
          </w:p>
        </w:tc>
        <w:tc>
          <w:tcPr>
            <w:tcW w:w="3969" w:type="dxa"/>
          </w:tcPr>
          <w:p w:rsidR="00A83A9A" w:rsidRPr="009D4312" w:rsidRDefault="00A83A9A" w:rsidP="00A83A9A">
            <w:pPr>
              <w:pStyle w:val="Sinespaciado"/>
            </w:pPr>
            <w:r w:rsidRPr="009D4312">
              <w:t xml:space="preserve">•Riesgos de pérdidas en la inversión </w:t>
            </w:r>
          </w:p>
        </w:tc>
      </w:tr>
      <w:tr w:rsidR="00A83A9A" w:rsidRPr="009D4312" w:rsidTr="00A83A9A">
        <w:tc>
          <w:tcPr>
            <w:tcW w:w="2235" w:type="dxa"/>
          </w:tcPr>
          <w:p w:rsidR="00A83A9A" w:rsidRPr="009D4312" w:rsidRDefault="00A83A9A" w:rsidP="00354B4F">
            <w:pPr>
              <w:pStyle w:val="Default"/>
              <w:spacing w:after="61"/>
              <w:rPr>
                <w:rFonts w:ascii="Arial Narrow" w:hAnsi="Arial Narrow"/>
                <w:sz w:val="22"/>
                <w:szCs w:val="22"/>
              </w:rPr>
            </w:pPr>
            <w:r w:rsidRPr="009D4312">
              <w:rPr>
                <w:rFonts w:ascii="Arial Narrow" w:hAnsi="Arial Narrow"/>
                <w:sz w:val="22"/>
                <w:szCs w:val="22"/>
              </w:rPr>
              <w:t xml:space="preserve">•Ensamblaje </w:t>
            </w:r>
          </w:p>
        </w:tc>
        <w:tc>
          <w:tcPr>
            <w:tcW w:w="3402" w:type="dxa"/>
          </w:tcPr>
          <w:p w:rsidR="00A83A9A" w:rsidRPr="009D4312" w:rsidRDefault="00A83A9A" w:rsidP="00A83A9A">
            <w:pPr>
              <w:pStyle w:val="Sinespaciado"/>
            </w:pPr>
            <w:r w:rsidRPr="009D4312">
              <w:t xml:space="preserve">•Antigüedad </w:t>
            </w:r>
          </w:p>
        </w:tc>
        <w:tc>
          <w:tcPr>
            <w:tcW w:w="3969" w:type="dxa"/>
          </w:tcPr>
          <w:p w:rsidR="00A83A9A" w:rsidRPr="009D4312" w:rsidRDefault="00A83A9A" w:rsidP="00A83A9A">
            <w:pPr>
              <w:pStyle w:val="Sinespaciado"/>
            </w:pPr>
            <w:r w:rsidRPr="009D4312">
              <w:t xml:space="preserve">•Riesgos en la I &amp; D </w:t>
            </w:r>
          </w:p>
        </w:tc>
      </w:tr>
      <w:tr w:rsidR="00A83A9A" w:rsidRPr="009D4312" w:rsidTr="00A83A9A">
        <w:tc>
          <w:tcPr>
            <w:tcW w:w="2235" w:type="dxa"/>
          </w:tcPr>
          <w:p w:rsidR="00A83A9A" w:rsidRPr="009D4312" w:rsidRDefault="00A83A9A" w:rsidP="00354B4F">
            <w:pPr>
              <w:pStyle w:val="Default"/>
              <w:spacing w:after="61"/>
              <w:rPr>
                <w:rFonts w:ascii="Arial Narrow" w:hAnsi="Arial Narrow"/>
                <w:sz w:val="22"/>
                <w:szCs w:val="22"/>
              </w:rPr>
            </w:pPr>
            <w:r w:rsidRPr="009D4312">
              <w:rPr>
                <w:rFonts w:ascii="Arial Narrow" w:hAnsi="Arial Narrow"/>
                <w:sz w:val="22"/>
                <w:szCs w:val="22"/>
              </w:rPr>
              <w:t xml:space="preserve">•I &amp; D </w:t>
            </w:r>
          </w:p>
        </w:tc>
        <w:tc>
          <w:tcPr>
            <w:tcW w:w="3402" w:type="dxa"/>
          </w:tcPr>
          <w:p w:rsidR="00A83A9A" w:rsidRPr="009D4312" w:rsidRDefault="00A83A9A" w:rsidP="00A83A9A">
            <w:pPr>
              <w:pStyle w:val="Sinespaciado"/>
            </w:pPr>
            <w:r w:rsidRPr="009D4312">
              <w:t xml:space="preserve">•Valor de mercado </w:t>
            </w:r>
          </w:p>
        </w:tc>
        <w:tc>
          <w:tcPr>
            <w:tcW w:w="3969" w:type="dxa"/>
          </w:tcPr>
          <w:p w:rsidR="00A83A9A" w:rsidRPr="009D4312" w:rsidRDefault="00A83A9A" w:rsidP="00A83A9A">
            <w:pPr>
              <w:pStyle w:val="Sinespaciado"/>
            </w:pPr>
            <w:r w:rsidRPr="009D4312">
              <w:t xml:space="preserve">•Riesgos financieros (Tipo de interés y </w:t>
            </w:r>
            <w:r w:rsidRPr="009D4312">
              <w:lastRenderedPageBreak/>
              <w:t xml:space="preserve">cambio de divisas) </w:t>
            </w:r>
          </w:p>
        </w:tc>
      </w:tr>
      <w:tr w:rsidR="00A83A9A" w:rsidRPr="009D4312" w:rsidTr="00A83A9A">
        <w:tc>
          <w:tcPr>
            <w:tcW w:w="2235" w:type="dxa"/>
          </w:tcPr>
          <w:p w:rsidR="00A83A9A" w:rsidRPr="009D4312" w:rsidRDefault="00A83A9A" w:rsidP="00354B4F">
            <w:pPr>
              <w:pStyle w:val="Default"/>
              <w:spacing w:after="61"/>
              <w:rPr>
                <w:rFonts w:ascii="Arial Narrow" w:hAnsi="Arial Narrow"/>
                <w:sz w:val="22"/>
                <w:szCs w:val="22"/>
              </w:rPr>
            </w:pPr>
            <w:r w:rsidRPr="009D4312">
              <w:rPr>
                <w:rFonts w:ascii="Arial Narrow" w:hAnsi="Arial Narrow"/>
                <w:sz w:val="22"/>
                <w:szCs w:val="22"/>
              </w:rPr>
              <w:lastRenderedPageBreak/>
              <w:t xml:space="preserve">•Servicios </w:t>
            </w:r>
          </w:p>
        </w:tc>
        <w:tc>
          <w:tcPr>
            <w:tcW w:w="3402" w:type="dxa"/>
          </w:tcPr>
          <w:p w:rsidR="00A83A9A" w:rsidRPr="009D4312" w:rsidRDefault="00A83A9A" w:rsidP="00A83A9A">
            <w:pPr>
              <w:pStyle w:val="Default"/>
              <w:spacing w:after="61"/>
              <w:rPr>
                <w:rFonts w:ascii="Arial Narrow" w:hAnsi="Arial Narrow"/>
                <w:sz w:val="22"/>
                <w:szCs w:val="22"/>
              </w:rPr>
            </w:pPr>
          </w:p>
        </w:tc>
        <w:tc>
          <w:tcPr>
            <w:tcW w:w="3969" w:type="dxa"/>
          </w:tcPr>
          <w:p w:rsidR="00A83A9A" w:rsidRPr="009D4312" w:rsidRDefault="00A83A9A" w:rsidP="00A83A9A">
            <w:pPr>
              <w:pStyle w:val="Default"/>
              <w:spacing w:after="61"/>
              <w:rPr>
                <w:rFonts w:ascii="Arial Narrow" w:hAnsi="Arial Narrow"/>
                <w:sz w:val="22"/>
                <w:szCs w:val="22"/>
              </w:rPr>
            </w:pPr>
          </w:p>
        </w:tc>
      </w:tr>
      <w:tr w:rsidR="00A83A9A" w:rsidRPr="009D4312" w:rsidTr="00A83A9A">
        <w:tc>
          <w:tcPr>
            <w:tcW w:w="2235" w:type="dxa"/>
          </w:tcPr>
          <w:p w:rsidR="00A83A9A" w:rsidRPr="009D4312" w:rsidRDefault="00A83A9A" w:rsidP="00354B4F">
            <w:pPr>
              <w:pStyle w:val="Default"/>
              <w:spacing w:after="61"/>
              <w:rPr>
                <w:rFonts w:ascii="Arial Narrow" w:hAnsi="Arial Narrow"/>
                <w:sz w:val="22"/>
                <w:szCs w:val="22"/>
              </w:rPr>
            </w:pPr>
            <w:r w:rsidRPr="009D4312">
              <w:rPr>
                <w:rFonts w:ascii="Arial Narrow" w:hAnsi="Arial Narrow"/>
                <w:sz w:val="22"/>
                <w:szCs w:val="22"/>
              </w:rPr>
              <w:t xml:space="preserve">•Compra </w:t>
            </w:r>
          </w:p>
        </w:tc>
        <w:tc>
          <w:tcPr>
            <w:tcW w:w="3402" w:type="dxa"/>
          </w:tcPr>
          <w:p w:rsidR="00A83A9A" w:rsidRPr="009D4312" w:rsidRDefault="00A83A9A" w:rsidP="00A83A9A">
            <w:pPr>
              <w:pStyle w:val="Default"/>
              <w:spacing w:after="61"/>
              <w:rPr>
                <w:rFonts w:ascii="Arial Narrow" w:hAnsi="Arial Narrow"/>
                <w:sz w:val="22"/>
                <w:szCs w:val="22"/>
              </w:rPr>
            </w:pPr>
          </w:p>
        </w:tc>
        <w:tc>
          <w:tcPr>
            <w:tcW w:w="3969" w:type="dxa"/>
          </w:tcPr>
          <w:p w:rsidR="00A83A9A" w:rsidRPr="009D4312" w:rsidRDefault="00A83A9A" w:rsidP="00A83A9A">
            <w:pPr>
              <w:pStyle w:val="Default"/>
              <w:spacing w:after="61"/>
              <w:rPr>
                <w:rFonts w:ascii="Arial Narrow" w:hAnsi="Arial Narrow"/>
                <w:sz w:val="22"/>
                <w:szCs w:val="22"/>
              </w:rPr>
            </w:pPr>
          </w:p>
        </w:tc>
      </w:tr>
      <w:tr w:rsidR="00A83A9A" w:rsidRPr="009D4312" w:rsidTr="00A83A9A">
        <w:tc>
          <w:tcPr>
            <w:tcW w:w="2235" w:type="dxa"/>
          </w:tcPr>
          <w:p w:rsidR="00A83A9A" w:rsidRPr="009D4312" w:rsidRDefault="00A83A9A" w:rsidP="00354B4F">
            <w:pPr>
              <w:pStyle w:val="Default"/>
              <w:spacing w:after="61"/>
              <w:rPr>
                <w:rFonts w:ascii="Arial Narrow" w:hAnsi="Arial Narrow"/>
                <w:sz w:val="22"/>
                <w:szCs w:val="22"/>
              </w:rPr>
            </w:pPr>
            <w:r w:rsidRPr="009D4312">
              <w:rPr>
                <w:rFonts w:ascii="Arial Narrow" w:hAnsi="Arial Narrow"/>
                <w:sz w:val="22"/>
                <w:szCs w:val="22"/>
              </w:rPr>
              <w:t xml:space="preserve">•Distribución </w:t>
            </w:r>
          </w:p>
        </w:tc>
        <w:tc>
          <w:tcPr>
            <w:tcW w:w="3402" w:type="dxa"/>
          </w:tcPr>
          <w:p w:rsidR="00A83A9A" w:rsidRPr="009D4312" w:rsidRDefault="00A83A9A" w:rsidP="00A83A9A">
            <w:pPr>
              <w:pStyle w:val="Default"/>
              <w:spacing w:after="61"/>
              <w:rPr>
                <w:rFonts w:ascii="Arial Narrow" w:hAnsi="Arial Narrow"/>
                <w:sz w:val="22"/>
                <w:szCs w:val="22"/>
              </w:rPr>
            </w:pPr>
          </w:p>
        </w:tc>
        <w:tc>
          <w:tcPr>
            <w:tcW w:w="3969" w:type="dxa"/>
          </w:tcPr>
          <w:p w:rsidR="00A83A9A" w:rsidRPr="009D4312" w:rsidRDefault="00A83A9A" w:rsidP="00A83A9A">
            <w:pPr>
              <w:pStyle w:val="Default"/>
              <w:spacing w:after="61"/>
              <w:rPr>
                <w:rFonts w:ascii="Arial Narrow" w:hAnsi="Arial Narrow"/>
                <w:sz w:val="22"/>
                <w:szCs w:val="22"/>
              </w:rPr>
            </w:pPr>
          </w:p>
        </w:tc>
      </w:tr>
      <w:tr w:rsidR="00A83A9A" w:rsidRPr="009D4312" w:rsidTr="00A83A9A">
        <w:tc>
          <w:tcPr>
            <w:tcW w:w="2235" w:type="dxa"/>
          </w:tcPr>
          <w:p w:rsidR="00A83A9A" w:rsidRPr="009D4312" w:rsidRDefault="00A83A9A" w:rsidP="00354B4F">
            <w:pPr>
              <w:pStyle w:val="Default"/>
              <w:spacing w:after="61"/>
              <w:rPr>
                <w:rFonts w:ascii="Arial Narrow" w:hAnsi="Arial Narrow"/>
                <w:sz w:val="22"/>
                <w:szCs w:val="22"/>
              </w:rPr>
            </w:pPr>
            <w:r w:rsidRPr="009D4312">
              <w:rPr>
                <w:rFonts w:ascii="Arial Narrow" w:hAnsi="Arial Narrow"/>
                <w:sz w:val="22"/>
                <w:szCs w:val="22"/>
              </w:rPr>
              <w:t xml:space="preserve">•Mercadeo </w:t>
            </w:r>
          </w:p>
        </w:tc>
        <w:tc>
          <w:tcPr>
            <w:tcW w:w="3402" w:type="dxa"/>
          </w:tcPr>
          <w:p w:rsidR="00A83A9A" w:rsidRPr="009D4312" w:rsidRDefault="00A83A9A" w:rsidP="00A83A9A">
            <w:pPr>
              <w:pStyle w:val="Default"/>
              <w:spacing w:after="61"/>
              <w:rPr>
                <w:rFonts w:ascii="Arial Narrow" w:hAnsi="Arial Narrow"/>
                <w:sz w:val="22"/>
                <w:szCs w:val="22"/>
              </w:rPr>
            </w:pPr>
          </w:p>
        </w:tc>
        <w:tc>
          <w:tcPr>
            <w:tcW w:w="3969" w:type="dxa"/>
          </w:tcPr>
          <w:p w:rsidR="00A83A9A" w:rsidRPr="009D4312" w:rsidRDefault="00A83A9A" w:rsidP="00A83A9A">
            <w:pPr>
              <w:pStyle w:val="Default"/>
              <w:spacing w:after="61"/>
              <w:rPr>
                <w:rFonts w:ascii="Arial Narrow" w:hAnsi="Arial Narrow"/>
                <w:sz w:val="22"/>
                <w:szCs w:val="22"/>
              </w:rPr>
            </w:pPr>
          </w:p>
        </w:tc>
      </w:tr>
      <w:tr w:rsidR="00A83A9A" w:rsidRPr="009D4312" w:rsidTr="00A83A9A">
        <w:tc>
          <w:tcPr>
            <w:tcW w:w="2235" w:type="dxa"/>
          </w:tcPr>
          <w:p w:rsidR="00A83A9A" w:rsidRPr="009D4312" w:rsidRDefault="00A83A9A" w:rsidP="00354B4F">
            <w:pPr>
              <w:pStyle w:val="Default"/>
              <w:spacing w:after="61"/>
              <w:rPr>
                <w:rFonts w:ascii="Arial Narrow" w:hAnsi="Arial Narrow"/>
                <w:sz w:val="22"/>
                <w:szCs w:val="22"/>
              </w:rPr>
            </w:pPr>
            <w:r w:rsidRPr="009D4312">
              <w:rPr>
                <w:rFonts w:ascii="Arial Narrow" w:hAnsi="Arial Narrow"/>
                <w:sz w:val="22"/>
                <w:szCs w:val="22"/>
              </w:rPr>
              <w:t xml:space="preserve">•Publicidad </w:t>
            </w:r>
          </w:p>
        </w:tc>
        <w:tc>
          <w:tcPr>
            <w:tcW w:w="3402" w:type="dxa"/>
          </w:tcPr>
          <w:p w:rsidR="00A83A9A" w:rsidRPr="009D4312" w:rsidRDefault="00A83A9A" w:rsidP="00A83A9A">
            <w:pPr>
              <w:pStyle w:val="Default"/>
              <w:spacing w:after="61"/>
              <w:rPr>
                <w:rFonts w:ascii="Arial Narrow" w:hAnsi="Arial Narrow"/>
                <w:sz w:val="22"/>
                <w:szCs w:val="22"/>
              </w:rPr>
            </w:pPr>
          </w:p>
        </w:tc>
        <w:tc>
          <w:tcPr>
            <w:tcW w:w="3969" w:type="dxa"/>
          </w:tcPr>
          <w:p w:rsidR="00A83A9A" w:rsidRPr="009D4312" w:rsidRDefault="00A83A9A" w:rsidP="00A83A9A">
            <w:pPr>
              <w:pStyle w:val="Default"/>
              <w:spacing w:after="61"/>
              <w:rPr>
                <w:rFonts w:ascii="Arial Narrow" w:hAnsi="Arial Narrow"/>
                <w:sz w:val="22"/>
                <w:szCs w:val="22"/>
              </w:rPr>
            </w:pPr>
          </w:p>
        </w:tc>
      </w:tr>
      <w:tr w:rsidR="00A83A9A" w:rsidRPr="009D4312" w:rsidTr="00A83A9A">
        <w:tc>
          <w:tcPr>
            <w:tcW w:w="2235" w:type="dxa"/>
          </w:tcPr>
          <w:p w:rsidR="00A83A9A" w:rsidRPr="009D4312" w:rsidRDefault="00A83A9A" w:rsidP="00354B4F">
            <w:pPr>
              <w:pStyle w:val="Default"/>
              <w:spacing w:after="61"/>
              <w:rPr>
                <w:rFonts w:ascii="Arial Narrow" w:hAnsi="Arial Narrow"/>
                <w:sz w:val="22"/>
                <w:szCs w:val="22"/>
              </w:rPr>
            </w:pPr>
            <w:r w:rsidRPr="009D4312">
              <w:rPr>
                <w:rFonts w:ascii="Arial Narrow" w:hAnsi="Arial Narrow"/>
                <w:sz w:val="22"/>
                <w:szCs w:val="22"/>
              </w:rPr>
              <w:t xml:space="preserve">•Transporte </w:t>
            </w:r>
          </w:p>
        </w:tc>
        <w:tc>
          <w:tcPr>
            <w:tcW w:w="3402" w:type="dxa"/>
          </w:tcPr>
          <w:p w:rsidR="00A83A9A" w:rsidRPr="009D4312" w:rsidRDefault="00A83A9A" w:rsidP="00A83A9A">
            <w:pPr>
              <w:pStyle w:val="Default"/>
              <w:spacing w:after="61"/>
              <w:rPr>
                <w:rFonts w:ascii="Arial Narrow" w:hAnsi="Arial Narrow"/>
                <w:sz w:val="22"/>
                <w:szCs w:val="22"/>
              </w:rPr>
            </w:pPr>
          </w:p>
        </w:tc>
        <w:tc>
          <w:tcPr>
            <w:tcW w:w="3969" w:type="dxa"/>
          </w:tcPr>
          <w:p w:rsidR="00A83A9A" w:rsidRPr="009D4312" w:rsidRDefault="00A83A9A" w:rsidP="00A83A9A">
            <w:pPr>
              <w:pStyle w:val="Default"/>
              <w:spacing w:after="61"/>
              <w:rPr>
                <w:rFonts w:ascii="Arial Narrow" w:hAnsi="Arial Narrow"/>
                <w:sz w:val="22"/>
                <w:szCs w:val="22"/>
              </w:rPr>
            </w:pPr>
          </w:p>
        </w:tc>
      </w:tr>
      <w:tr w:rsidR="00A83A9A" w:rsidRPr="009D4312" w:rsidTr="00A83A9A">
        <w:tc>
          <w:tcPr>
            <w:tcW w:w="2235" w:type="dxa"/>
          </w:tcPr>
          <w:p w:rsidR="00A83A9A" w:rsidRPr="009D4312" w:rsidRDefault="00A83A9A" w:rsidP="00354B4F">
            <w:pPr>
              <w:pStyle w:val="Default"/>
              <w:rPr>
                <w:rFonts w:ascii="Arial Narrow" w:hAnsi="Arial Narrow"/>
                <w:sz w:val="22"/>
                <w:szCs w:val="22"/>
              </w:rPr>
            </w:pPr>
            <w:r w:rsidRPr="009D4312">
              <w:rPr>
                <w:rFonts w:ascii="Arial Narrow" w:hAnsi="Arial Narrow"/>
                <w:sz w:val="22"/>
                <w:szCs w:val="22"/>
              </w:rPr>
              <w:t xml:space="preserve">•Financiamiento </w:t>
            </w:r>
          </w:p>
        </w:tc>
        <w:tc>
          <w:tcPr>
            <w:tcW w:w="3402" w:type="dxa"/>
          </w:tcPr>
          <w:p w:rsidR="00A83A9A" w:rsidRPr="009D4312" w:rsidRDefault="00A83A9A" w:rsidP="00A83A9A">
            <w:pPr>
              <w:pStyle w:val="Default"/>
              <w:rPr>
                <w:rFonts w:ascii="Arial Narrow" w:hAnsi="Arial Narrow"/>
                <w:sz w:val="22"/>
                <w:szCs w:val="22"/>
              </w:rPr>
            </w:pPr>
          </w:p>
        </w:tc>
        <w:tc>
          <w:tcPr>
            <w:tcW w:w="3969" w:type="dxa"/>
          </w:tcPr>
          <w:p w:rsidR="00A83A9A" w:rsidRPr="009D4312" w:rsidRDefault="00A83A9A" w:rsidP="00A83A9A">
            <w:pPr>
              <w:pStyle w:val="Default"/>
              <w:rPr>
                <w:rFonts w:ascii="Arial Narrow" w:hAnsi="Arial Narrow"/>
                <w:sz w:val="22"/>
                <w:szCs w:val="22"/>
              </w:rPr>
            </w:pPr>
          </w:p>
        </w:tc>
      </w:tr>
    </w:tbl>
    <w:p w:rsidR="00C566D6" w:rsidRPr="00A83A9A" w:rsidRDefault="00C566D6" w:rsidP="00C566D6">
      <w:pPr>
        <w:pStyle w:val="Default"/>
        <w:rPr>
          <w:rFonts w:ascii="Arial Narrow" w:hAnsi="Arial Narrow"/>
        </w:rPr>
      </w:pPr>
    </w:p>
    <w:p w:rsidR="00C566D6" w:rsidRPr="00A83A9A" w:rsidRDefault="00C566D6" w:rsidP="00A83A9A">
      <w:pPr>
        <w:pStyle w:val="Default"/>
        <w:numPr>
          <w:ilvl w:val="0"/>
          <w:numId w:val="7"/>
        </w:numPr>
        <w:rPr>
          <w:rFonts w:ascii="Arial Narrow" w:hAnsi="Arial Narrow"/>
          <w:b/>
          <w:bCs/>
        </w:rPr>
      </w:pPr>
      <w:r w:rsidRPr="00A83A9A">
        <w:rPr>
          <w:rFonts w:ascii="Arial Narrow" w:hAnsi="Arial Narrow"/>
          <w:b/>
          <w:bCs/>
        </w:rPr>
        <w:t>Términos Contractuales</w:t>
      </w:r>
    </w:p>
    <w:p w:rsidR="00A83A9A" w:rsidRPr="00A83A9A" w:rsidRDefault="00A83A9A" w:rsidP="00A83A9A">
      <w:pPr>
        <w:pStyle w:val="Default"/>
        <w:rPr>
          <w:rFonts w:ascii="Arial Narrow" w:hAnsi="Arial Narrow"/>
          <w:b/>
          <w:bCs/>
        </w:rPr>
      </w:pPr>
    </w:p>
    <w:tbl>
      <w:tblPr>
        <w:tblStyle w:val="Tablaconcuadrcula"/>
        <w:tblW w:w="0" w:type="auto"/>
        <w:tblLook w:val="04A0"/>
      </w:tblPr>
      <w:tblGrid>
        <w:gridCol w:w="8978"/>
      </w:tblGrid>
      <w:tr w:rsidR="00A83A9A" w:rsidRPr="00A83A9A" w:rsidTr="00A83A9A">
        <w:tc>
          <w:tcPr>
            <w:tcW w:w="8978" w:type="dxa"/>
          </w:tcPr>
          <w:p w:rsidR="00A83A9A" w:rsidRPr="00A83A9A" w:rsidRDefault="00A83A9A" w:rsidP="001D5DF6">
            <w:pPr>
              <w:pStyle w:val="Default"/>
              <w:spacing w:after="54"/>
              <w:rPr>
                <w:rFonts w:ascii="Arial Narrow" w:hAnsi="Arial Narrow"/>
              </w:rPr>
            </w:pPr>
            <w:r w:rsidRPr="00A83A9A">
              <w:rPr>
                <w:rFonts w:ascii="Arial Narrow" w:hAnsi="Arial Narrow"/>
              </w:rPr>
              <w:t xml:space="preserve">•Cláusulas contractuales definidas explicita e implícitamente </w:t>
            </w:r>
          </w:p>
        </w:tc>
      </w:tr>
      <w:tr w:rsidR="00A83A9A" w:rsidRPr="00A83A9A" w:rsidTr="00A83A9A">
        <w:tc>
          <w:tcPr>
            <w:tcW w:w="8978" w:type="dxa"/>
          </w:tcPr>
          <w:p w:rsidR="00A83A9A" w:rsidRPr="00A83A9A" w:rsidRDefault="00A83A9A" w:rsidP="001D5DF6">
            <w:pPr>
              <w:pStyle w:val="Default"/>
              <w:spacing w:after="54"/>
              <w:rPr>
                <w:rFonts w:ascii="Arial Narrow" w:hAnsi="Arial Narrow"/>
              </w:rPr>
            </w:pPr>
            <w:r w:rsidRPr="00A83A9A">
              <w:rPr>
                <w:rFonts w:ascii="Arial Narrow" w:hAnsi="Arial Narrow"/>
              </w:rPr>
              <w:t xml:space="preserve">•Conducta de las partes en la transacción </w:t>
            </w:r>
          </w:p>
        </w:tc>
      </w:tr>
      <w:tr w:rsidR="00A83A9A" w:rsidRPr="00A83A9A" w:rsidTr="00A83A9A">
        <w:tc>
          <w:tcPr>
            <w:tcW w:w="8978" w:type="dxa"/>
          </w:tcPr>
          <w:p w:rsidR="00A83A9A" w:rsidRPr="00A83A9A" w:rsidRDefault="00A83A9A" w:rsidP="001D5DF6">
            <w:pPr>
              <w:pStyle w:val="Default"/>
              <w:rPr>
                <w:rFonts w:ascii="Arial Narrow" w:hAnsi="Arial Narrow"/>
              </w:rPr>
            </w:pPr>
            <w:r w:rsidRPr="00A83A9A">
              <w:rPr>
                <w:rFonts w:ascii="Arial Narrow" w:hAnsi="Arial Narrow"/>
              </w:rPr>
              <w:t xml:space="preserve">•Principios económicos que generalmente rigen las relaciones entre partes independientes </w:t>
            </w:r>
          </w:p>
        </w:tc>
      </w:tr>
    </w:tbl>
    <w:p w:rsidR="00A83A9A" w:rsidRPr="00A83A9A" w:rsidRDefault="00A83A9A" w:rsidP="00A83A9A">
      <w:pPr>
        <w:pStyle w:val="Default"/>
        <w:rPr>
          <w:rFonts w:ascii="Arial Narrow" w:hAnsi="Arial Narrow"/>
        </w:rPr>
      </w:pPr>
    </w:p>
    <w:p w:rsidR="00A83A9A" w:rsidRPr="00A83A9A" w:rsidRDefault="00A83A9A" w:rsidP="00A83A9A">
      <w:pPr>
        <w:pStyle w:val="Default"/>
        <w:numPr>
          <w:ilvl w:val="0"/>
          <w:numId w:val="7"/>
        </w:numPr>
        <w:rPr>
          <w:rFonts w:ascii="Arial Narrow" w:hAnsi="Arial Narrow"/>
          <w:b/>
          <w:bCs/>
        </w:rPr>
      </w:pPr>
      <w:r w:rsidRPr="00A83A9A">
        <w:rPr>
          <w:rFonts w:ascii="Arial Narrow" w:hAnsi="Arial Narrow"/>
          <w:b/>
          <w:bCs/>
        </w:rPr>
        <w:t>Circunstancias Económicas</w:t>
      </w:r>
    </w:p>
    <w:tbl>
      <w:tblPr>
        <w:tblStyle w:val="Tablaconcuadrcula"/>
        <w:tblW w:w="0" w:type="auto"/>
        <w:tblLook w:val="04A0"/>
      </w:tblPr>
      <w:tblGrid>
        <w:gridCol w:w="8978"/>
      </w:tblGrid>
      <w:tr w:rsidR="00A83A9A" w:rsidRPr="009D4312" w:rsidTr="00A83A9A">
        <w:tc>
          <w:tcPr>
            <w:tcW w:w="8978" w:type="dxa"/>
          </w:tcPr>
          <w:p w:rsidR="00A83A9A" w:rsidRPr="009D4312" w:rsidRDefault="00A83A9A" w:rsidP="00E2466B">
            <w:pPr>
              <w:pStyle w:val="Default"/>
              <w:spacing w:after="54"/>
              <w:rPr>
                <w:rFonts w:ascii="Arial Narrow" w:hAnsi="Arial Narrow"/>
                <w:sz w:val="22"/>
                <w:szCs w:val="22"/>
              </w:rPr>
            </w:pPr>
            <w:r w:rsidRPr="009D4312">
              <w:rPr>
                <w:rFonts w:ascii="Arial Narrow" w:hAnsi="Arial Narrow"/>
                <w:sz w:val="22"/>
                <w:szCs w:val="22"/>
              </w:rPr>
              <w:t xml:space="preserve">•Ubicación geográfica </w:t>
            </w:r>
          </w:p>
        </w:tc>
      </w:tr>
      <w:tr w:rsidR="00A83A9A" w:rsidRPr="009D4312" w:rsidTr="00A83A9A">
        <w:tc>
          <w:tcPr>
            <w:tcW w:w="8978" w:type="dxa"/>
          </w:tcPr>
          <w:p w:rsidR="00A83A9A" w:rsidRPr="009D4312" w:rsidRDefault="00A83A9A" w:rsidP="00E2466B">
            <w:pPr>
              <w:pStyle w:val="Default"/>
              <w:spacing w:after="54"/>
              <w:rPr>
                <w:rFonts w:ascii="Arial Narrow" w:hAnsi="Arial Narrow"/>
                <w:sz w:val="22"/>
                <w:szCs w:val="22"/>
              </w:rPr>
            </w:pPr>
            <w:r w:rsidRPr="009D4312">
              <w:rPr>
                <w:rFonts w:ascii="Arial Narrow" w:hAnsi="Arial Narrow"/>
                <w:sz w:val="22"/>
                <w:szCs w:val="22"/>
              </w:rPr>
              <w:t xml:space="preserve">•Tamaño del mercado </w:t>
            </w:r>
          </w:p>
        </w:tc>
      </w:tr>
      <w:tr w:rsidR="00A83A9A" w:rsidRPr="009D4312" w:rsidTr="00A83A9A">
        <w:tc>
          <w:tcPr>
            <w:tcW w:w="8978" w:type="dxa"/>
          </w:tcPr>
          <w:p w:rsidR="00A83A9A" w:rsidRPr="009D4312" w:rsidRDefault="00A83A9A" w:rsidP="00E2466B">
            <w:pPr>
              <w:pStyle w:val="Default"/>
              <w:spacing w:after="54"/>
              <w:rPr>
                <w:rFonts w:ascii="Arial Narrow" w:hAnsi="Arial Narrow"/>
                <w:sz w:val="22"/>
                <w:szCs w:val="22"/>
              </w:rPr>
            </w:pPr>
            <w:r w:rsidRPr="009D4312">
              <w:rPr>
                <w:rFonts w:ascii="Arial Narrow" w:hAnsi="Arial Narrow"/>
                <w:sz w:val="22"/>
                <w:szCs w:val="22"/>
              </w:rPr>
              <w:t xml:space="preserve">•Nicho del mercado (por mayor o al detalle) </w:t>
            </w:r>
          </w:p>
        </w:tc>
      </w:tr>
      <w:tr w:rsidR="00A83A9A" w:rsidRPr="009D4312" w:rsidTr="00A83A9A">
        <w:tc>
          <w:tcPr>
            <w:tcW w:w="8978" w:type="dxa"/>
          </w:tcPr>
          <w:p w:rsidR="00A83A9A" w:rsidRPr="009D4312" w:rsidRDefault="00A83A9A" w:rsidP="00E2466B">
            <w:pPr>
              <w:pStyle w:val="Default"/>
              <w:spacing w:after="54"/>
              <w:rPr>
                <w:rFonts w:ascii="Arial Narrow" w:hAnsi="Arial Narrow"/>
                <w:sz w:val="22"/>
                <w:szCs w:val="22"/>
              </w:rPr>
            </w:pPr>
            <w:r w:rsidRPr="009D4312">
              <w:rPr>
                <w:rFonts w:ascii="Arial Narrow" w:hAnsi="Arial Narrow"/>
                <w:sz w:val="22"/>
                <w:szCs w:val="22"/>
              </w:rPr>
              <w:t xml:space="preserve">•Competencia en el mercado </w:t>
            </w:r>
          </w:p>
        </w:tc>
      </w:tr>
      <w:tr w:rsidR="00A83A9A" w:rsidRPr="009D4312" w:rsidTr="00A83A9A">
        <w:tc>
          <w:tcPr>
            <w:tcW w:w="8978" w:type="dxa"/>
          </w:tcPr>
          <w:p w:rsidR="00A83A9A" w:rsidRPr="009D4312" w:rsidRDefault="00A83A9A" w:rsidP="00E2466B">
            <w:pPr>
              <w:pStyle w:val="Default"/>
              <w:spacing w:after="54"/>
              <w:rPr>
                <w:rFonts w:ascii="Arial Narrow" w:hAnsi="Arial Narrow"/>
                <w:sz w:val="22"/>
                <w:szCs w:val="22"/>
              </w:rPr>
            </w:pPr>
            <w:r w:rsidRPr="009D4312">
              <w:rPr>
                <w:rFonts w:ascii="Arial Narrow" w:hAnsi="Arial Narrow"/>
                <w:sz w:val="22"/>
                <w:szCs w:val="22"/>
              </w:rPr>
              <w:t xml:space="preserve">•Posición de las empresas en el ciclo de producción o distribución </w:t>
            </w:r>
          </w:p>
        </w:tc>
      </w:tr>
      <w:tr w:rsidR="00A83A9A" w:rsidRPr="009D4312" w:rsidTr="00A83A9A">
        <w:tc>
          <w:tcPr>
            <w:tcW w:w="8978" w:type="dxa"/>
          </w:tcPr>
          <w:p w:rsidR="00A83A9A" w:rsidRPr="009D4312" w:rsidRDefault="00A83A9A" w:rsidP="00E2466B">
            <w:pPr>
              <w:pStyle w:val="Default"/>
              <w:spacing w:after="54"/>
              <w:rPr>
                <w:rFonts w:ascii="Arial Narrow" w:hAnsi="Arial Narrow"/>
                <w:sz w:val="22"/>
                <w:szCs w:val="22"/>
              </w:rPr>
            </w:pPr>
            <w:r w:rsidRPr="009D4312">
              <w:rPr>
                <w:rFonts w:ascii="Arial Narrow" w:hAnsi="Arial Narrow"/>
                <w:sz w:val="22"/>
                <w:szCs w:val="22"/>
              </w:rPr>
              <w:t xml:space="preserve">•Disponibilidad de bienes y servicios sustitutos </w:t>
            </w:r>
          </w:p>
        </w:tc>
      </w:tr>
      <w:tr w:rsidR="00A83A9A" w:rsidRPr="009D4312" w:rsidTr="00A83A9A">
        <w:tc>
          <w:tcPr>
            <w:tcW w:w="8978" w:type="dxa"/>
          </w:tcPr>
          <w:p w:rsidR="00A83A9A" w:rsidRPr="009D4312" w:rsidRDefault="00A83A9A" w:rsidP="00E2466B">
            <w:pPr>
              <w:pStyle w:val="Default"/>
              <w:spacing w:after="54"/>
              <w:rPr>
                <w:rFonts w:ascii="Arial Narrow" w:hAnsi="Arial Narrow"/>
                <w:sz w:val="22"/>
                <w:szCs w:val="22"/>
              </w:rPr>
            </w:pPr>
            <w:r w:rsidRPr="009D4312">
              <w:rPr>
                <w:rFonts w:ascii="Arial Narrow" w:hAnsi="Arial Narrow"/>
                <w:sz w:val="22"/>
                <w:szCs w:val="22"/>
              </w:rPr>
              <w:t xml:space="preserve">•Niveles de oferta y demanda en el mercado </w:t>
            </w:r>
          </w:p>
        </w:tc>
      </w:tr>
      <w:tr w:rsidR="00A83A9A" w:rsidRPr="009D4312" w:rsidTr="00A83A9A">
        <w:tc>
          <w:tcPr>
            <w:tcW w:w="8978" w:type="dxa"/>
          </w:tcPr>
          <w:p w:rsidR="00A83A9A" w:rsidRPr="009D4312" w:rsidRDefault="00A83A9A" w:rsidP="00E2466B">
            <w:pPr>
              <w:pStyle w:val="Default"/>
              <w:spacing w:after="54"/>
              <w:rPr>
                <w:rFonts w:ascii="Arial Narrow" w:hAnsi="Arial Narrow"/>
                <w:sz w:val="22"/>
                <w:szCs w:val="22"/>
              </w:rPr>
            </w:pPr>
            <w:r w:rsidRPr="009D4312">
              <w:rPr>
                <w:rFonts w:ascii="Arial Narrow" w:hAnsi="Arial Narrow"/>
                <w:sz w:val="22"/>
                <w:szCs w:val="22"/>
              </w:rPr>
              <w:t xml:space="preserve">•Poder de compra de los consumidores </w:t>
            </w:r>
          </w:p>
        </w:tc>
      </w:tr>
      <w:tr w:rsidR="00A83A9A" w:rsidRPr="009D4312" w:rsidTr="00A83A9A">
        <w:tc>
          <w:tcPr>
            <w:tcW w:w="8978" w:type="dxa"/>
          </w:tcPr>
          <w:p w:rsidR="00A83A9A" w:rsidRPr="009D4312" w:rsidRDefault="00A83A9A" w:rsidP="00E2466B">
            <w:pPr>
              <w:pStyle w:val="Default"/>
              <w:spacing w:after="54"/>
              <w:rPr>
                <w:rFonts w:ascii="Arial Narrow" w:hAnsi="Arial Narrow"/>
                <w:sz w:val="22"/>
                <w:szCs w:val="22"/>
              </w:rPr>
            </w:pPr>
            <w:r w:rsidRPr="009D4312">
              <w:rPr>
                <w:rFonts w:ascii="Arial Narrow" w:hAnsi="Arial Narrow"/>
                <w:sz w:val="22"/>
                <w:szCs w:val="22"/>
              </w:rPr>
              <w:t xml:space="preserve">•Naturaleza y alcance de las regulaciones gubernamentales </w:t>
            </w:r>
          </w:p>
        </w:tc>
      </w:tr>
      <w:tr w:rsidR="00A83A9A" w:rsidRPr="009D4312" w:rsidTr="00A83A9A">
        <w:tc>
          <w:tcPr>
            <w:tcW w:w="8978" w:type="dxa"/>
          </w:tcPr>
          <w:p w:rsidR="00A83A9A" w:rsidRPr="009D4312" w:rsidRDefault="00A83A9A" w:rsidP="00E2466B">
            <w:pPr>
              <w:pStyle w:val="Default"/>
              <w:rPr>
                <w:rFonts w:ascii="Arial Narrow" w:hAnsi="Arial Narrow"/>
                <w:sz w:val="22"/>
                <w:szCs w:val="22"/>
              </w:rPr>
            </w:pPr>
            <w:r w:rsidRPr="009D4312">
              <w:rPr>
                <w:rFonts w:ascii="Arial Narrow" w:hAnsi="Arial Narrow"/>
                <w:sz w:val="22"/>
                <w:szCs w:val="22"/>
              </w:rPr>
              <w:t xml:space="preserve">•Fecha y hora de las operaciones </w:t>
            </w:r>
          </w:p>
        </w:tc>
      </w:tr>
    </w:tbl>
    <w:p w:rsidR="00A83A9A" w:rsidRPr="00A83A9A" w:rsidRDefault="00A83A9A" w:rsidP="00A83A9A">
      <w:pPr>
        <w:pStyle w:val="Default"/>
        <w:rPr>
          <w:rFonts w:ascii="Arial Narrow" w:hAnsi="Arial Narrow"/>
        </w:rPr>
      </w:pPr>
    </w:p>
    <w:p w:rsidR="00A83A9A" w:rsidRPr="00A83A9A" w:rsidRDefault="00A83A9A" w:rsidP="00A83A9A">
      <w:pPr>
        <w:pStyle w:val="Default"/>
        <w:numPr>
          <w:ilvl w:val="0"/>
          <w:numId w:val="7"/>
        </w:numPr>
        <w:rPr>
          <w:rFonts w:ascii="Arial Narrow" w:hAnsi="Arial Narrow"/>
          <w:b/>
          <w:bCs/>
        </w:rPr>
      </w:pPr>
      <w:r w:rsidRPr="00A83A9A">
        <w:rPr>
          <w:rFonts w:ascii="Arial Narrow" w:hAnsi="Arial Narrow"/>
          <w:b/>
          <w:bCs/>
        </w:rPr>
        <w:t>Estrategias de Negocios</w:t>
      </w:r>
    </w:p>
    <w:tbl>
      <w:tblPr>
        <w:tblStyle w:val="Tablaconcuadrcula"/>
        <w:tblW w:w="0" w:type="auto"/>
        <w:tblLook w:val="04A0"/>
      </w:tblPr>
      <w:tblGrid>
        <w:gridCol w:w="8978"/>
      </w:tblGrid>
      <w:tr w:rsidR="00A83A9A" w:rsidRPr="009D4312" w:rsidTr="00A83A9A">
        <w:tc>
          <w:tcPr>
            <w:tcW w:w="8978" w:type="dxa"/>
          </w:tcPr>
          <w:p w:rsidR="00A83A9A" w:rsidRPr="009D4312" w:rsidRDefault="00A83A9A" w:rsidP="003F7EAC">
            <w:pPr>
              <w:pStyle w:val="Default"/>
              <w:spacing w:after="53"/>
              <w:rPr>
                <w:rFonts w:ascii="Arial Narrow" w:hAnsi="Arial Narrow"/>
                <w:sz w:val="22"/>
                <w:szCs w:val="22"/>
              </w:rPr>
            </w:pPr>
            <w:r w:rsidRPr="009D4312">
              <w:rPr>
                <w:rFonts w:ascii="Arial Narrow" w:hAnsi="Arial Narrow"/>
                <w:sz w:val="22"/>
                <w:szCs w:val="22"/>
              </w:rPr>
              <w:t xml:space="preserve">•Diversificación </w:t>
            </w:r>
          </w:p>
        </w:tc>
      </w:tr>
      <w:tr w:rsidR="00A83A9A" w:rsidRPr="009D4312" w:rsidTr="00A83A9A">
        <w:tc>
          <w:tcPr>
            <w:tcW w:w="8978" w:type="dxa"/>
          </w:tcPr>
          <w:p w:rsidR="00A83A9A" w:rsidRPr="009D4312" w:rsidRDefault="00A83A9A" w:rsidP="003F7EAC">
            <w:pPr>
              <w:pStyle w:val="Default"/>
              <w:spacing w:after="53"/>
              <w:rPr>
                <w:rFonts w:ascii="Arial Narrow" w:hAnsi="Arial Narrow"/>
                <w:sz w:val="22"/>
                <w:szCs w:val="22"/>
              </w:rPr>
            </w:pPr>
            <w:r w:rsidRPr="009D4312">
              <w:rPr>
                <w:rFonts w:ascii="Arial Narrow" w:hAnsi="Arial Narrow"/>
                <w:sz w:val="22"/>
                <w:szCs w:val="22"/>
              </w:rPr>
              <w:t xml:space="preserve">•Aversión al riesgo </w:t>
            </w:r>
          </w:p>
        </w:tc>
      </w:tr>
      <w:tr w:rsidR="00A83A9A" w:rsidRPr="009D4312" w:rsidTr="00A83A9A">
        <w:tc>
          <w:tcPr>
            <w:tcW w:w="8978" w:type="dxa"/>
          </w:tcPr>
          <w:p w:rsidR="00A83A9A" w:rsidRPr="009D4312" w:rsidRDefault="00A83A9A" w:rsidP="003F7EAC">
            <w:pPr>
              <w:pStyle w:val="Default"/>
              <w:spacing w:after="53"/>
              <w:rPr>
                <w:rFonts w:ascii="Arial Narrow" w:hAnsi="Arial Narrow"/>
                <w:sz w:val="22"/>
                <w:szCs w:val="22"/>
              </w:rPr>
            </w:pPr>
            <w:r w:rsidRPr="009D4312">
              <w:rPr>
                <w:rFonts w:ascii="Arial Narrow" w:hAnsi="Arial Narrow"/>
                <w:sz w:val="22"/>
                <w:szCs w:val="22"/>
              </w:rPr>
              <w:t xml:space="preserve">•Valoración del impacto de los cambios políticos y de las leyes laborales existentes o previstas </w:t>
            </w:r>
          </w:p>
        </w:tc>
      </w:tr>
      <w:tr w:rsidR="00A83A9A" w:rsidRPr="009D4312" w:rsidTr="00A83A9A">
        <w:tc>
          <w:tcPr>
            <w:tcW w:w="8978" w:type="dxa"/>
          </w:tcPr>
          <w:p w:rsidR="00A83A9A" w:rsidRPr="009D4312" w:rsidRDefault="00A83A9A" w:rsidP="003F7EAC">
            <w:pPr>
              <w:pStyle w:val="Default"/>
              <w:rPr>
                <w:rFonts w:ascii="Arial Narrow" w:hAnsi="Arial Narrow"/>
                <w:sz w:val="22"/>
                <w:szCs w:val="22"/>
              </w:rPr>
            </w:pPr>
            <w:r w:rsidRPr="009D4312">
              <w:rPr>
                <w:rFonts w:ascii="Arial Narrow" w:hAnsi="Arial Narrow"/>
                <w:sz w:val="22"/>
                <w:szCs w:val="22"/>
              </w:rPr>
              <w:t xml:space="preserve">•Estrategias de penetración, permanencia o expansión del mercado </w:t>
            </w:r>
          </w:p>
        </w:tc>
      </w:tr>
    </w:tbl>
    <w:p w:rsidR="00A83A9A" w:rsidRPr="00A83A9A" w:rsidRDefault="00A83A9A" w:rsidP="00A83A9A">
      <w:pPr>
        <w:pStyle w:val="Default"/>
        <w:rPr>
          <w:rFonts w:ascii="Arial Narrow" w:hAnsi="Arial Narrow"/>
        </w:rPr>
      </w:pPr>
    </w:p>
    <w:p w:rsidR="009D4312" w:rsidRDefault="00A83A9A" w:rsidP="00A83A9A">
      <w:pPr>
        <w:pStyle w:val="Default"/>
        <w:rPr>
          <w:rFonts w:ascii="Arial Narrow" w:hAnsi="Arial Narrow"/>
          <w:b/>
          <w:bCs/>
          <w:i/>
          <w:iCs/>
        </w:rPr>
      </w:pPr>
      <w:r w:rsidRPr="00A83A9A">
        <w:rPr>
          <w:rFonts w:ascii="Arial Narrow" w:hAnsi="Arial Narrow"/>
          <w:b/>
          <w:bCs/>
        </w:rPr>
        <w:t xml:space="preserve">Obligaciones del Auditor Fiscal </w:t>
      </w:r>
      <w:r w:rsidRPr="00A83A9A">
        <w:rPr>
          <w:rFonts w:ascii="Arial Narrow" w:hAnsi="Arial Narrow"/>
          <w:b/>
          <w:bCs/>
          <w:i/>
          <w:iCs/>
        </w:rPr>
        <w:t>Obligaciones del Auditor.</w:t>
      </w:r>
    </w:p>
    <w:p w:rsidR="009D4312" w:rsidRDefault="00A83A9A" w:rsidP="00A83A9A">
      <w:pPr>
        <w:pStyle w:val="Default"/>
        <w:rPr>
          <w:rFonts w:ascii="Arial Narrow" w:hAnsi="Arial Narrow"/>
          <w:b/>
          <w:bCs/>
          <w:i/>
          <w:iCs/>
        </w:rPr>
      </w:pPr>
      <w:r w:rsidRPr="00A83A9A">
        <w:rPr>
          <w:rFonts w:ascii="Arial Narrow" w:hAnsi="Arial Narrow"/>
          <w:b/>
          <w:bCs/>
          <w:i/>
          <w:iCs/>
        </w:rPr>
        <w:t xml:space="preserve"> Artículo 135, literal f) del C.T.</w:t>
      </w:r>
    </w:p>
    <w:p w:rsidR="009D4312" w:rsidRPr="009D4312" w:rsidRDefault="00A83A9A" w:rsidP="00A83A9A">
      <w:pPr>
        <w:pStyle w:val="Default"/>
        <w:rPr>
          <w:rFonts w:ascii="Arial Narrow" w:hAnsi="Arial Narrow"/>
          <w:i/>
          <w:iCs/>
        </w:rPr>
      </w:pPr>
      <w:r w:rsidRPr="00A83A9A">
        <w:rPr>
          <w:rFonts w:ascii="Arial Narrow" w:hAnsi="Arial Narrow"/>
          <w:b/>
          <w:bCs/>
          <w:i/>
          <w:iCs/>
        </w:rPr>
        <w:t xml:space="preserve"> </w:t>
      </w:r>
      <w:r w:rsidRPr="00A83A9A">
        <w:rPr>
          <w:rFonts w:ascii="Arial Narrow" w:hAnsi="Arial Narrow"/>
          <w:i/>
          <w:iCs/>
        </w:rPr>
        <w:t xml:space="preserve">Los Auditores deberán cumplir con las siguientes obligaciones: </w:t>
      </w:r>
      <w:r w:rsidR="009D4312">
        <w:rPr>
          <w:rFonts w:ascii="Arial Narrow" w:hAnsi="Arial Narrow"/>
          <w:i/>
          <w:iCs/>
        </w:rPr>
        <w:t xml:space="preserve"> </w:t>
      </w:r>
    </w:p>
    <w:p w:rsidR="009D4312" w:rsidRDefault="00A83A9A" w:rsidP="009D4312">
      <w:pPr>
        <w:pStyle w:val="Default"/>
        <w:numPr>
          <w:ilvl w:val="0"/>
          <w:numId w:val="6"/>
        </w:numPr>
        <w:spacing w:after="41"/>
        <w:rPr>
          <w:rFonts w:ascii="Arial Narrow" w:hAnsi="Arial Narrow"/>
          <w:i/>
          <w:iCs/>
        </w:rPr>
      </w:pPr>
      <w:r w:rsidRPr="00A83A9A">
        <w:rPr>
          <w:rFonts w:ascii="Arial Narrow" w:hAnsi="Arial Narrow"/>
          <w:i/>
          <w:iCs/>
        </w:rPr>
        <w:t>Reflejar en el Dictamen y en el Informe Fiscal, la situación tributaria del sujeto pasivo dictaminado, incluyendo una nota o apartado que las operaciones entre sujetos relacionados o con sujetos domiciliados, constituidos o ubicados en países, estados o territorios con regímenes fiscales preferentes, de baja o nula tributación o paraísos fiscales cumplen con las leyes tributarias y el presente Código.</w:t>
      </w:r>
    </w:p>
    <w:p w:rsidR="009D4312" w:rsidRDefault="00A83A9A" w:rsidP="00A83A9A">
      <w:pPr>
        <w:pStyle w:val="Default"/>
        <w:spacing w:after="41"/>
        <w:rPr>
          <w:rFonts w:ascii="Arial Narrow" w:hAnsi="Arial Narrow"/>
          <w:b/>
          <w:bCs/>
          <w:i/>
          <w:iCs/>
        </w:rPr>
      </w:pPr>
      <w:r w:rsidRPr="00A83A9A">
        <w:rPr>
          <w:rFonts w:ascii="Arial Narrow" w:hAnsi="Arial Narrow"/>
          <w:i/>
          <w:iCs/>
        </w:rPr>
        <w:t xml:space="preserve"> </w:t>
      </w:r>
      <w:r w:rsidRPr="00A83A9A">
        <w:rPr>
          <w:rFonts w:ascii="Arial Narrow" w:hAnsi="Arial Narrow"/>
          <w:b/>
          <w:bCs/>
          <w:i/>
          <w:iCs/>
        </w:rPr>
        <w:t xml:space="preserve">Informe fiscal </w:t>
      </w:r>
    </w:p>
    <w:p w:rsidR="009D4312" w:rsidRDefault="00A83A9A" w:rsidP="00A83A9A">
      <w:pPr>
        <w:pStyle w:val="Default"/>
        <w:spacing w:after="41"/>
        <w:rPr>
          <w:rFonts w:ascii="Arial Narrow" w:hAnsi="Arial Narrow"/>
          <w:b/>
          <w:bCs/>
          <w:i/>
          <w:iCs/>
        </w:rPr>
      </w:pPr>
      <w:r w:rsidRPr="00A83A9A">
        <w:rPr>
          <w:rFonts w:ascii="Arial Narrow" w:hAnsi="Arial Narrow"/>
          <w:b/>
          <w:bCs/>
          <w:i/>
          <w:iCs/>
        </w:rPr>
        <w:t xml:space="preserve">Artículo 68, literal i) del RACT. </w:t>
      </w:r>
    </w:p>
    <w:p w:rsidR="009D4312" w:rsidRDefault="00A83A9A" w:rsidP="00A83A9A">
      <w:pPr>
        <w:pStyle w:val="Default"/>
        <w:spacing w:after="41"/>
        <w:rPr>
          <w:rFonts w:ascii="Arial Narrow" w:hAnsi="Arial Narrow"/>
          <w:i/>
          <w:iCs/>
        </w:rPr>
      </w:pPr>
      <w:r w:rsidRPr="00A83A9A">
        <w:rPr>
          <w:rFonts w:ascii="Arial Narrow" w:hAnsi="Arial Narrow"/>
          <w:i/>
          <w:iCs/>
        </w:rPr>
        <w:lastRenderedPageBreak/>
        <w:t>El informe sobre la situación fiscal del contribuyente, se integrará de la forma siguiente:</w:t>
      </w:r>
    </w:p>
    <w:p w:rsidR="00A83A9A" w:rsidRPr="009D4312" w:rsidRDefault="009D4312" w:rsidP="00A83A9A">
      <w:pPr>
        <w:pStyle w:val="Default"/>
        <w:numPr>
          <w:ilvl w:val="0"/>
          <w:numId w:val="8"/>
        </w:numPr>
        <w:spacing w:after="41"/>
        <w:ind w:left="567" w:hanging="207"/>
        <w:rPr>
          <w:rFonts w:ascii="Arial Narrow" w:hAnsi="Arial Narrow"/>
        </w:rPr>
      </w:pPr>
      <w:r w:rsidRPr="00A83A9A">
        <w:rPr>
          <w:rFonts w:ascii="Arial Narrow" w:hAnsi="Arial Narrow"/>
          <w:i/>
          <w:iCs/>
        </w:rPr>
        <w:t xml:space="preserve">Se revelarán los saldos y las transacciones con sus principales accionistas, subsidiarias, asociadas y afiliadas. Estas transacciones son, entre otras, la adquisición o enajenación de bienes, la prestación o recepción de servicios; el otorgamiento o recepción del uso o goce temporal de bienes; así como la celebración de contratos que den lugar al pago de regalías, comisiones u otro tipo de pagos. </w:t>
      </w:r>
    </w:p>
    <w:p w:rsidR="009D4312" w:rsidRPr="009D4312" w:rsidRDefault="009D4312" w:rsidP="009D4312">
      <w:pPr>
        <w:pStyle w:val="Default"/>
        <w:spacing w:after="41"/>
        <w:ind w:left="567"/>
        <w:rPr>
          <w:rFonts w:ascii="Arial Narrow" w:hAnsi="Arial Narrow"/>
        </w:rPr>
      </w:pPr>
    </w:p>
    <w:p w:rsidR="00A83A9A" w:rsidRDefault="00A83A9A" w:rsidP="00A83A9A">
      <w:pPr>
        <w:pStyle w:val="Default"/>
        <w:rPr>
          <w:sz w:val="32"/>
          <w:szCs w:val="32"/>
        </w:rPr>
      </w:pPr>
    </w:p>
    <w:p w:rsidR="009D4312" w:rsidRDefault="009D4312" w:rsidP="00A83A9A">
      <w:pPr>
        <w:pStyle w:val="Default"/>
        <w:rPr>
          <w:sz w:val="32"/>
          <w:szCs w:val="32"/>
        </w:rPr>
      </w:pPr>
    </w:p>
    <w:p w:rsidR="00C566D6" w:rsidRPr="00281FF6" w:rsidRDefault="00C566D6" w:rsidP="00C566D6">
      <w:pPr>
        <w:pStyle w:val="Sinespaciado"/>
        <w:rPr>
          <w:rFonts w:ascii="Arial Narrow" w:hAnsi="Arial Narrow"/>
          <w:b/>
          <w:sz w:val="24"/>
          <w:szCs w:val="24"/>
        </w:rPr>
      </w:pPr>
    </w:p>
    <w:sectPr w:rsidR="00C566D6" w:rsidRPr="00281FF6" w:rsidSect="00327CDF">
      <w:pgSz w:w="12240" w:h="15840" w:code="1"/>
      <w:pgMar w:top="1417" w:right="1701" w:bottom="141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3" type="#_x0000_t75" style="width:9.2pt;height:9.2pt" o:bullet="t">
        <v:imagedata r:id="rId1" o:title="BD10300_"/>
      </v:shape>
    </w:pict>
  </w:numPicBullet>
  <w:abstractNum w:abstractNumId="0">
    <w:nsid w:val="0E5A435E"/>
    <w:multiLevelType w:val="hybridMultilevel"/>
    <w:tmpl w:val="45D6813E"/>
    <w:lvl w:ilvl="0" w:tplc="440A0017">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
    <w:nsid w:val="3E15738A"/>
    <w:multiLevelType w:val="hybridMultilevel"/>
    <w:tmpl w:val="FE384E36"/>
    <w:lvl w:ilvl="0" w:tplc="D5A0FB34">
      <w:start w:val="1"/>
      <w:numFmt w:val="bullet"/>
      <w:lvlText w:val=""/>
      <w:lvlPicBulletId w:val="0"/>
      <w:lvlJc w:val="left"/>
      <w:pPr>
        <w:ind w:left="720" w:hanging="360"/>
      </w:pPr>
      <w:rPr>
        <w:rFonts w:ascii="Symbol" w:hAnsi="Symbol" w:hint="default"/>
        <w:color w:val="auto"/>
        <w:sz w:val="16"/>
        <w:szCs w:val="16"/>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
    <w:nsid w:val="5BB623C0"/>
    <w:multiLevelType w:val="hybridMultilevel"/>
    <w:tmpl w:val="713098D6"/>
    <w:lvl w:ilvl="0" w:tplc="784A1DBE">
      <w:start w:val="1"/>
      <w:numFmt w:val="lowerRoman"/>
      <w:lvlText w:val="%1)"/>
      <w:lvlJc w:val="left"/>
      <w:pPr>
        <w:ind w:left="1080" w:hanging="720"/>
      </w:pPr>
      <w:rPr>
        <w:rFonts w:hint="default"/>
        <w:i/>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3">
    <w:nsid w:val="6342278F"/>
    <w:multiLevelType w:val="hybridMultilevel"/>
    <w:tmpl w:val="C18EF8DC"/>
    <w:lvl w:ilvl="0" w:tplc="440A0017">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4">
    <w:nsid w:val="68D74109"/>
    <w:multiLevelType w:val="hybridMultilevel"/>
    <w:tmpl w:val="F2703428"/>
    <w:lvl w:ilvl="0" w:tplc="21BC8DDE">
      <w:start w:val="1"/>
      <w:numFmt w:val="decimal"/>
      <w:lvlText w:val="%1."/>
      <w:lvlJc w:val="left"/>
      <w:pPr>
        <w:ind w:left="750" w:hanging="39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5">
    <w:nsid w:val="6A9B12F1"/>
    <w:multiLevelType w:val="hybridMultilevel"/>
    <w:tmpl w:val="AADE95A8"/>
    <w:lvl w:ilvl="0" w:tplc="440A000F">
      <w:start w:val="1"/>
      <w:numFmt w:val="decimal"/>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6">
    <w:nsid w:val="6E242CB3"/>
    <w:multiLevelType w:val="hybridMultilevel"/>
    <w:tmpl w:val="155CEC9A"/>
    <w:lvl w:ilvl="0" w:tplc="440A0017">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7">
    <w:nsid w:val="7BDF65B5"/>
    <w:multiLevelType w:val="hybridMultilevel"/>
    <w:tmpl w:val="5CF6E2B4"/>
    <w:lvl w:ilvl="0" w:tplc="440A000F">
      <w:start w:val="1"/>
      <w:numFmt w:val="decimal"/>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num w:numId="1">
    <w:abstractNumId w:val="7"/>
  </w:num>
  <w:num w:numId="2">
    <w:abstractNumId w:val="1"/>
  </w:num>
  <w:num w:numId="3">
    <w:abstractNumId w:val="0"/>
  </w:num>
  <w:num w:numId="4">
    <w:abstractNumId w:val="6"/>
  </w:num>
  <w:num w:numId="5">
    <w:abstractNumId w:val="5"/>
  </w:num>
  <w:num w:numId="6">
    <w:abstractNumId w:val="3"/>
  </w:num>
  <w:num w:numId="7">
    <w:abstractNumId w:val="4"/>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10"/>
  <w:displayHorizontalDrawingGridEvery w:val="2"/>
  <w:characterSpacingControl w:val="doNotCompress"/>
  <w:compat/>
  <w:rsids>
    <w:rsidRoot w:val="00327CDF"/>
    <w:rsid w:val="00281FF6"/>
    <w:rsid w:val="00327CDF"/>
    <w:rsid w:val="0045086E"/>
    <w:rsid w:val="009D4312"/>
    <w:rsid w:val="00A83A9A"/>
    <w:rsid w:val="00AB3323"/>
    <w:rsid w:val="00BE2CBA"/>
    <w:rsid w:val="00C566D6"/>
  </w:rsids>
  <m:mathPr>
    <m:mathFont m:val="Cambria Math"/>
    <m:brkBin m:val="before"/>
    <m:brkBinSub m:val="--"/>
    <m:smallFrac m:val="off"/>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2CBA"/>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27CD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27CDF"/>
    <w:rPr>
      <w:rFonts w:ascii="Tahoma" w:hAnsi="Tahoma" w:cs="Tahoma"/>
      <w:sz w:val="16"/>
      <w:szCs w:val="16"/>
    </w:rPr>
  </w:style>
  <w:style w:type="paragraph" w:customStyle="1" w:styleId="Default">
    <w:name w:val="Default"/>
    <w:rsid w:val="00327CDF"/>
    <w:pPr>
      <w:autoSpaceDE w:val="0"/>
      <w:autoSpaceDN w:val="0"/>
      <w:adjustRightInd w:val="0"/>
      <w:spacing w:after="0" w:line="240" w:lineRule="auto"/>
    </w:pPr>
    <w:rPr>
      <w:rFonts w:ascii="Calibri" w:hAnsi="Calibri" w:cs="Calibri"/>
      <w:color w:val="000000"/>
      <w:sz w:val="24"/>
      <w:szCs w:val="24"/>
    </w:rPr>
  </w:style>
  <w:style w:type="paragraph" w:styleId="Sinespaciado">
    <w:name w:val="No Spacing"/>
    <w:uiPriority w:val="1"/>
    <w:qFormat/>
    <w:rsid w:val="00281FF6"/>
    <w:pPr>
      <w:spacing w:after="0" w:line="240" w:lineRule="auto"/>
    </w:pPr>
  </w:style>
  <w:style w:type="paragraph" w:styleId="Prrafodelista">
    <w:name w:val="List Paragraph"/>
    <w:basedOn w:val="Normal"/>
    <w:uiPriority w:val="34"/>
    <w:qFormat/>
    <w:rsid w:val="00281FF6"/>
    <w:pPr>
      <w:ind w:left="720"/>
      <w:contextualSpacing/>
    </w:pPr>
  </w:style>
  <w:style w:type="table" w:styleId="Tablaconcuadrcula">
    <w:name w:val="Table Grid"/>
    <w:basedOn w:val="Tablanormal"/>
    <w:uiPriority w:val="59"/>
    <w:rsid w:val="00A83A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4</Pages>
  <Words>962</Words>
  <Characters>5297</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6247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Elisa</dc:creator>
  <cp:lastModifiedBy>Elisa</cp:lastModifiedBy>
  <cp:revision>1</cp:revision>
  <dcterms:created xsi:type="dcterms:W3CDTF">2013-10-27T23:10:00Z</dcterms:created>
  <dcterms:modified xsi:type="dcterms:W3CDTF">2013-10-28T00:12:00Z</dcterms:modified>
</cp:coreProperties>
</file>