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37D" w:rsidRDefault="001618F7" w:rsidP="00E34FC9">
      <w:pPr>
        <w:tabs>
          <w:tab w:val="left" w:pos="9594"/>
        </w:tabs>
      </w:pPr>
      <w:r>
        <w:rPr>
          <w:noProof/>
          <w:lang w:eastAsia="es-SV"/>
        </w:rPr>
        <w:pict>
          <v:group id="_x0000_s1263" style="position:absolute;margin-left:-10.1pt;margin-top:-4.2pt;width:658.95pt;height:550.15pt;z-index:251730944" coordorigin="518,636" coordsize="13179,11003">
            <v:oval id="_x0000_s1191" style="position:absolute;left:2282;top:2141;width:2809;height:1045" fillcolor="#d99594 [1941]" strokecolor="#d99594 [1941]" strokeweight="1pt">
              <v:fill color2="#f2dbdb [661]" angle="-45" focusposition="1" focussize="" focus="-50%" type="gradient"/>
              <v:shadow on="t" type="perspective" color="#622423 [1605]" opacity=".5" offset="1pt" offset2="-3pt"/>
              <v:textbox style="mso-next-textbox:#_x0000_s1191">
                <w:txbxContent>
                  <w:p w:rsidR="0008737D" w:rsidRDefault="0008737D" w:rsidP="0008737D">
                    <w:pPr>
                      <w:jc w:val="center"/>
                    </w:pPr>
                    <w:r>
                      <w:t xml:space="preserve">Deberes y obligaciones tributarias </w:t>
                    </w:r>
                  </w:p>
                </w:txbxContent>
              </v:textbox>
            </v:oval>
            <v:rect id="_x0000_s1193" style="position:absolute;left:518;top:4516;width:3304;height:4002" fillcolor="white [3201]" strokecolor="#4f81bd [3204]" strokeweight="2.5pt">
              <v:shadow color="#868686"/>
              <v:textbox style="mso-next-textbox:#_x0000_s1193">
                <w:txbxContent>
                  <w:p w:rsidR="0008737D" w:rsidRDefault="0008737D" w:rsidP="0008737D">
                    <w:pPr>
                      <w:pStyle w:val="Sinespaciado"/>
                      <w:numPr>
                        <w:ilvl w:val="0"/>
                        <w:numId w:val="6"/>
                      </w:numPr>
                      <w:ind w:left="142" w:hanging="284"/>
                      <w:jc w:val="both"/>
                    </w:pPr>
                    <w:r>
                      <w:t>Obligados formales</w:t>
                    </w:r>
                  </w:p>
                  <w:p w:rsidR="0008737D" w:rsidRDefault="0008737D" w:rsidP="0008737D">
                    <w:pPr>
                      <w:pStyle w:val="Sinespaciado"/>
                      <w:numPr>
                        <w:ilvl w:val="0"/>
                        <w:numId w:val="6"/>
                      </w:numPr>
                      <w:ind w:left="142" w:hanging="284"/>
                      <w:jc w:val="both"/>
                    </w:pPr>
                    <w:r>
                      <w:t>Registro de contribuyente</w:t>
                    </w:r>
                  </w:p>
                  <w:p w:rsidR="0008737D" w:rsidRDefault="0008737D" w:rsidP="0008737D">
                    <w:pPr>
                      <w:pStyle w:val="Sinespaciado"/>
                      <w:numPr>
                        <w:ilvl w:val="0"/>
                        <w:numId w:val="6"/>
                      </w:numPr>
                      <w:ind w:left="142" w:hanging="284"/>
                      <w:jc w:val="both"/>
                    </w:pPr>
                    <w:r>
                      <w:t xml:space="preserve">Lugar para recibir notificaciones </w:t>
                    </w:r>
                  </w:p>
                  <w:p w:rsidR="0008737D" w:rsidRDefault="0008737D" w:rsidP="0008737D">
                    <w:pPr>
                      <w:pStyle w:val="Sinespaciado"/>
                      <w:numPr>
                        <w:ilvl w:val="0"/>
                        <w:numId w:val="6"/>
                      </w:numPr>
                      <w:ind w:left="142" w:hanging="284"/>
                      <w:jc w:val="both"/>
                    </w:pPr>
                    <w:r>
                      <w:t>Declaraciones tributarias</w:t>
                    </w:r>
                  </w:p>
                  <w:p w:rsidR="0008737D" w:rsidRDefault="0008737D" w:rsidP="0008737D">
                    <w:pPr>
                      <w:pStyle w:val="Sinespaciado"/>
                      <w:numPr>
                        <w:ilvl w:val="0"/>
                        <w:numId w:val="6"/>
                      </w:numPr>
                      <w:ind w:left="142" w:hanging="284"/>
                      <w:jc w:val="both"/>
                    </w:pPr>
                    <w:r>
                      <w:t>Emisión de documentos</w:t>
                    </w:r>
                  </w:p>
                  <w:p w:rsidR="0008737D" w:rsidRDefault="0008737D" w:rsidP="0008737D">
                    <w:pPr>
                      <w:pStyle w:val="Sinespaciado"/>
                      <w:numPr>
                        <w:ilvl w:val="0"/>
                        <w:numId w:val="6"/>
                      </w:numPr>
                      <w:ind w:left="142" w:hanging="284"/>
                      <w:jc w:val="both"/>
                    </w:pPr>
                    <w:r>
                      <w:t>Obligación de informar y permitir el control</w:t>
                    </w:r>
                  </w:p>
                  <w:p w:rsidR="0008737D" w:rsidRDefault="0008737D" w:rsidP="0008737D">
                    <w:pPr>
                      <w:pStyle w:val="Sinespaciado"/>
                      <w:numPr>
                        <w:ilvl w:val="0"/>
                        <w:numId w:val="6"/>
                      </w:numPr>
                      <w:ind w:left="142" w:hanging="284"/>
                      <w:jc w:val="both"/>
                    </w:pPr>
                    <w:r>
                      <w:t>Dictamen e informe fiscal</w:t>
                    </w:r>
                  </w:p>
                  <w:p w:rsidR="0008737D" w:rsidRDefault="0008737D" w:rsidP="0008737D">
                    <w:pPr>
                      <w:pStyle w:val="Sinespaciado"/>
                      <w:numPr>
                        <w:ilvl w:val="0"/>
                        <w:numId w:val="6"/>
                      </w:numPr>
                      <w:ind w:left="142" w:hanging="284"/>
                      <w:jc w:val="both"/>
                    </w:pPr>
                    <w:r>
                      <w:t xml:space="preserve">Obligación de llevar contabilidad formal, registros, inventarios y utilización métodos de valuación </w:t>
                    </w:r>
                  </w:p>
                  <w:p w:rsidR="0008737D" w:rsidRPr="00F80DC0" w:rsidRDefault="0008737D" w:rsidP="0008737D">
                    <w:pPr>
                      <w:pStyle w:val="Sinespaciado"/>
                      <w:numPr>
                        <w:ilvl w:val="0"/>
                        <w:numId w:val="6"/>
                      </w:numPr>
                      <w:ind w:left="142" w:hanging="284"/>
                      <w:jc w:val="both"/>
                    </w:pPr>
                    <w:r>
                      <w:t xml:space="preserve">Otros deberes formales </w:t>
                    </w:r>
                  </w:p>
                </w:txbxContent>
              </v:textbox>
            </v:rect>
            <v:rect id="_x0000_s1194" style="position:absolute;left:799;top:3657;width:2747;height:631" fillcolor="white [3201]" strokecolor="#c0504d [3205]" strokeweight="2.5pt">
              <v:shadow color="#868686"/>
              <v:textbox>
                <w:txbxContent>
                  <w:p w:rsidR="0008737D" w:rsidRDefault="0008737D" w:rsidP="0008737D">
                    <w:pPr>
                      <w:pStyle w:val="Sinespaciado"/>
                    </w:pPr>
                    <w:r>
                      <w:t xml:space="preserve">Obligaciones formales </w:t>
                    </w:r>
                  </w:p>
                </w:txbxContent>
              </v:textbox>
            </v:rect>
            <v:rect id="_x0000_s1195" style="position:absolute;left:4577;top:4516;width:3351;height:4002" fillcolor="white [3201]" strokecolor="#4f81bd [3204]" strokeweight="2.5pt">
              <v:shadow color="#868686"/>
              <v:textbox style="mso-next-textbox:#_x0000_s1195">
                <w:txbxContent>
                  <w:p w:rsidR="0008737D" w:rsidRDefault="0008737D" w:rsidP="0008737D">
                    <w:pPr>
                      <w:pStyle w:val="Sinespaciado"/>
                      <w:numPr>
                        <w:ilvl w:val="0"/>
                        <w:numId w:val="5"/>
                      </w:numPr>
                      <w:ind w:left="284"/>
                      <w:jc w:val="both"/>
                    </w:pPr>
                    <w:r>
                      <w:t xml:space="preserve">Autoliquidación y pago </w:t>
                    </w:r>
                  </w:p>
                  <w:p w:rsidR="0008737D" w:rsidRDefault="0008737D" w:rsidP="0008737D">
                    <w:pPr>
                      <w:pStyle w:val="Sinespaciado"/>
                      <w:numPr>
                        <w:ilvl w:val="0"/>
                        <w:numId w:val="5"/>
                      </w:numPr>
                      <w:ind w:left="284"/>
                      <w:jc w:val="both"/>
                    </w:pPr>
                    <w:r>
                      <w:t xml:space="preserve">Pago o anticipo a cuenta del impuesto sobre la renta </w:t>
                    </w:r>
                  </w:p>
                  <w:p w:rsidR="0008737D" w:rsidRDefault="0008737D" w:rsidP="0008737D">
                    <w:pPr>
                      <w:pStyle w:val="Sinespaciado"/>
                      <w:numPr>
                        <w:ilvl w:val="0"/>
                        <w:numId w:val="5"/>
                      </w:numPr>
                      <w:ind w:left="284"/>
                      <w:jc w:val="both"/>
                    </w:pPr>
                    <w:r>
                      <w:t xml:space="preserve">Retenciones de impuesto sobre la renta </w:t>
                    </w:r>
                  </w:p>
                  <w:p w:rsidR="0008737D" w:rsidRDefault="0008737D" w:rsidP="0008737D">
                    <w:pPr>
                      <w:pStyle w:val="Sinespaciado"/>
                      <w:numPr>
                        <w:ilvl w:val="0"/>
                        <w:numId w:val="5"/>
                      </w:numPr>
                      <w:ind w:left="284"/>
                      <w:jc w:val="both"/>
                    </w:pPr>
                    <w:r>
                      <w:t xml:space="preserve">Retenciones y percepciones de impuesto  a la transferencia de bienes muebles y a la prestación de servicios </w:t>
                    </w:r>
                  </w:p>
                  <w:p w:rsidR="00D60BDF" w:rsidRDefault="00D60BDF" w:rsidP="0008737D">
                    <w:pPr>
                      <w:pStyle w:val="Sinespaciado"/>
                      <w:numPr>
                        <w:ilvl w:val="0"/>
                        <w:numId w:val="5"/>
                      </w:numPr>
                      <w:ind w:left="284"/>
                      <w:jc w:val="both"/>
                    </w:pPr>
                    <w:r>
                      <w:t>Retención por prestación de servicios</w:t>
                    </w:r>
                  </w:p>
                  <w:p w:rsidR="00D60BDF" w:rsidRDefault="00D60BDF" w:rsidP="0008737D">
                    <w:pPr>
                      <w:pStyle w:val="Sinespaciado"/>
                      <w:numPr>
                        <w:ilvl w:val="0"/>
                        <w:numId w:val="5"/>
                      </w:numPr>
                      <w:ind w:left="284"/>
                      <w:jc w:val="both"/>
                    </w:pPr>
                    <w:r>
                      <w:t>Retención a sujetos no domiciliados.</w:t>
                    </w:r>
                  </w:p>
                  <w:p w:rsidR="0008737D" w:rsidRPr="00F80DC0" w:rsidRDefault="0008737D" w:rsidP="0008737D">
                    <w:pPr>
                      <w:pStyle w:val="Sinespaciado"/>
                      <w:jc w:val="both"/>
                    </w:pPr>
                  </w:p>
                </w:txbxContent>
              </v:textbox>
            </v:rect>
            <v:rect id="_x0000_s1234" style="position:absolute;left:4577;top:3657;width:2747;height:631" fillcolor="white [3201]" strokecolor="#c0504d [3205]" strokeweight="2.5pt">
              <v:shadow color="#868686"/>
              <v:textbox>
                <w:txbxContent>
                  <w:p w:rsidR="00D60BDF" w:rsidRDefault="00D60BDF" w:rsidP="00D60BDF">
                    <w:pPr>
                      <w:pStyle w:val="Sinespaciado"/>
                    </w:pPr>
                    <w:r>
                      <w:t>Obligaciones Sustantivas</w:t>
                    </w:r>
                  </w:p>
                  <w:p w:rsidR="00D60BDF" w:rsidRDefault="00D60BDF" w:rsidP="00D60BDF">
                    <w:pPr>
                      <w:pStyle w:val="Sinespaciado"/>
                    </w:pPr>
                  </w:p>
                </w:txbxContent>
              </v:textbox>
            </v:rect>
            <v:group id="_x0000_s1242" style="position:absolute;left:2039;top:3203;width:3812;height:418" coordorigin="4320,1658" coordsize="9377,418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243" type="#_x0000_t32" style="position:absolute;left:4320;top:1659;width:9377;height:0" o:connectortype="straight" strokecolor="black [3200]" strokeweight="2.5pt">
                <v:shadow color="#868686"/>
              </v:shape>
              <v:shape id="_x0000_s1244" type="#_x0000_t32" style="position:absolute;left:4320;top:1658;width:0;height:418" o:connectortype="straight" strokecolor="black [3200]" strokeweight="2.5pt">
                <v:shadow color="#868686"/>
              </v:shape>
              <v:shape id="_x0000_s1245" type="#_x0000_t32" style="position:absolute;left:13697;top:1658;width:0;height:418" o:connectortype="straight" strokecolor="black [3200]" strokeweight="2.5pt">
                <v:shadow color="#868686"/>
              </v:shape>
            </v:group>
            <v:group id="_x0000_s1262" style="position:absolute;left:3717;top:636;width:9980;height:11003" coordorigin="3717,636" coordsize="9980,11003">
              <v:group id="_x0000_s1246" style="position:absolute;left:3717;top:636;width:9980;height:1440" coordorigin="3717,636" coordsize="9980,1440">
                <v:rect id="_x0000_s1190" style="position:absolute;left:6532;top:636;width:2780;height:511" fillcolor="white [3201]" strokecolor="#c0504d [3205]" strokeweight="5pt">
                  <v:stroke linestyle="thickThin"/>
                  <v:shadow color="#868686"/>
                  <v:textbox>
                    <w:txbxContent>
                      <w:p w:rsidR="0008737D" w:rsidRDefault="0008737D">
                        <w:r>
                          <w:t>CODIGO TRIBUTARIO</w:t>
                        </w:r>
                      </w:p>
                      <w:p w:rsidR="0008737D" w:rsidRDefault="0008737D"/>
                    </w:txbxContent>
                  </v:textbox>
                </v:rect>
                <v:shape id="_x0000_s1237" type="#_x0000_t32" style="position:absolute;left:9628;top:1658;width:0;height:418" o:connectortype="straight" strokecolor="black [3200]" strokeweight="2.5pt">
                  <v:shadow color="#868686"/>
                </v:shape>
                <v:group id="_x0000_s1241" style="position:absolute;left:3717;top:1658;width:9980;height:418" coordorigin="4320,1658" coordsize="9377,418">
                  <v:shape id="_x0000_s1235" type="#_x0000_t32" style="position:absolute;left:4320;top:1659;width:9377;height:0" o:connectortype="straight" strokecolor="black [3200]" strokeweight="2.5pt">
                    <v:shadow color="#868686"/>
                  </v:shape>
                  <v:shape id="_x0000_s1236" type="#_x0000_t32" style="position:absolute;left:4320;top:1658;width:0;height:418" o:connectortype="straight" strokecolor="black [3200]" strokeweight="2.5pt">
                    <v:shadow color="#868686"/>
                  </v:shape>
                  <v:shape id="_x0000_s1238" type="#_x0000_t32" style="position:absolute;left:13697;top:1658;width:0;height:418" o:connectortype="straight" strokecolor="black [3200]" strokeweight="2.5pt">
                    <v:shadow color="#868686"/>
                  </v:shape>
                </v:group>
                <v:shape id="_x0000_s1240" type="#_x0000_t32" style="position:absolute;left:7905;top:1147;width:0;height:511" o:connectortype="straight" strokecolor="black [3200]" strokeweight="2.5pt">
                  <v:shadow color="#868686"/>
                </v:shape>
              </v:group>
              <v:group id="_x0000_s1261" style="position:absolute;left:5424;top:2076;width:6489;height:9563" coordorigin="5424,2076" coordsize="6489,9563">
                <v:oval id="_x0000_s1226" style="position:absolute;left:8048;top:2076;width:3018;height:927" fillcolor="#d99594 [1941]" strokecolor="#d99594 [1941]" strokeweight="1pt">
                  <v:fill color2="#f2dbdb [661]" angle="-45" focusposition="1" focussize="" focus="-50%" type="gradient"/>
                  <v:shadow on="t" type="perspective" color="#622423 [1605]" opacity=".5" offset="1pt" offset2="-3pt"/>
                  <v:textbox style="mso-next-textbox:#_x0000_s1226">
                    <w:txbxContent>
                      <w:p w:rsidR="0008737D" w:rsidRDefault="0008737D" w:rsidP="0008737D">
                        <w:pPr>
                          <w:pStyle w:val="Sinespaciado"/>
                          <w:jc w:val="center"/>
                        </w:pPr>
                        <w:r>
                          <w:t>Procedimientos tributarios</w:t>
                        </w:r>
                      </w:p>
                    </w:txbxContent>
                  </v:textbox>
                </v:oval>
                <v:group id="_x0000_s1260" style="position:absolute;left:5424;top:3003;width:6489;height:8636" coordorigin="5424,3003" coordsize="6489,8636">
                  <v:oval id="_x0000_s1196" style="position:absolute;left:7157;top:8764;width:2671;height:939" fillcolor="#d99594 [1941]" strokecolor="#d99594 [1941]" strokeweight="1pt">
                    <v:fill color2="#f2dbdb [661]" angle="-45" focusposition="1" focussize="" focus="-50%" type="gradient"/>
                    <v:shadow on="t" type="perspective" color="#622423 [1605]" opacity=".5" offset="1pt" offset2="-3pt"/>
                    <v:textbox style="mso-next-textbox:#_x0000_s1196">
                      <w:txbxContent>
                        <w:p w:rsidR="0008737D" w:rsidRDefault="0008737D" w:rsidP="00E34FC9">
                          <w:pPr>
                            <w:jc w:val="center"/>
                          </w:pPr>
                          <w:r>
                            <w:t>Disposiciones Generales</w:t>
                          </w:r>
                        </w:p>
                      </w:txbxContent>
                    </v:textbox>
                  </v:oval>
                  <v:rect id="_x0000_s1198" style="position:absolute;left:7462;top:11008;width:2247;height:631" fillcolor="white [3201]" strokecolor="#4f81bd [3204]" strokeweight="2.5pt">
                    <v:shadow color="#868686"/>
                    <v:textbox style="mso-next-textbox:#_x0000_s1198">
                      <w:txbxContent>
                        <w:p w:rsidR="0008737D" w:rsidRDefault="0008737D" w:rsidP="0008737D">
                          <w:pPr>
                            <w:pStyle w:val="Sinespaciado"/>
                            <w:jc w:val="center"/>
                          </w:pPr>
                          <w:r>
                            <w:t>Tributos</w:t>
                          </w:r>
                        </w:p>
                      </w:txbxContent>
                    </v:textbox>
                  </v:rect>
                  <v:rect id="_x0000_s1199" style="position:absolute;left:9151;top:9938;width:2762;height:631" fillcolor="white [3201]" strokecolor="#4f81bd [3204]" strokeweight="2.5pt">
                    <v:shadow color="#868686"/>
                    <v:textbox style="mso-next-textbox:#_x0000_s1199">
                      <w:txbxContent>
                        <w:p w:rsidR="0008737D" w:rsidRDefault="0008737D" w:rsidP="0008737D">
                          <w:pPr>
                            <w:pStyle w:val="Sinespaciado"/>
                            <w:jc w:val="center"/>
                          </w:pPr>
                          <w:r>
                            <w:t xml:space="preserve">Términos y plazos </w:t>
                          </w:r>
                        </w:p>
                      </w:txbxContent>
                    </v:textbox>
                  </v:rect>
                  <v:rect id="_x0000_s1201" style="position:absolute;left:5424;top:9938;width:2762;height:631" fillcolor="white [3201]" strokecolor="#4f81bd [3204]" strokeweight="2.5pt">
                    <v:shadow color="#868686"/>
                    <v:textbox style="mso-next-textbox:#_x0000_s1201">
                      <w:txbxContent>
                        <w:p w:rsidR="0008737D" w:rsidRDefault="0008737D" w:rsidP="0008737D">
                          <w:pPr>
                            <w:pStyle w:val="Sinespaciado"/>
                            <w:jc w:val="center"/>
                          </w:pPr>
                          <w:r>
                            <w:t xml:space="preserve">Normas tributarias </w:t>
                          </w:r>
                        </w:p>
                      </w:txbxContent>
                    </v:textbox>
                  </v:rect>
                  <v:rect id="_x0000_s1230" style="position:absolute;left:8848;top:4516;width:2395;height:3377" fillcolor="white [3201]" strokecolor="#4f81bd [3204]" strokeweight="2.5pt">
                    <v:shadow color="#868686"/>
                    <v:textbox style="mso-next-textbox:#_x0000_s1230">
                      <w:txbxContent>
                        <w:p w:rsidR="0008737D" w:rsidRDefault="0008737D" w:rsidP="0008737D">
                          <w:pPr>
                            <w:pStyle w:val="Sinespaciado"/>
                            <w:jc w:val="center"/>
                          </w:pPr>
                          <w:r>
                            <w:t xml:space="preserve">Notificaciones </w:t>
                          </w:r>
                        </w:p>
                        <w:p w:rsidR="005004B8" w:rsidRDefault="005004B8" w:rsidP="005004B8">
                          <w:pPr>
                            <w:pStyle w:val="Sinespaciado"/>
                            <w:numPr>
                              <w:ilvl w:val="0"/>
                              <w:numId w:val="7"/>
                            </w:numPr>
                          </w:pPr>
                          <w:r>
                            <w:t xml:space="preserve">Fiscalizaciones </w:t>
                          </w:r>
                        </w:p>
                        <w:p w:rsidR="005004B8" w:rsidRDefault="005004B8" w:rsidP="005004B8">
                          <w:pPr>
                            <w:pStyle w:val="Sinespaciado"/>
                            <w:numPr>
                              <w:ilvl w:val="0"/>
                              <w:numId w:val="8"/>
                            </w:numPr>
                          </w:pPr>
                          <w:r>
                            <w:t xml:space="preserve">Liquidación de oficio del tributo </w:t>
                          </w:r>
                        </w:p>
                        <w:p w:rsidR="005004B8" w:rsidRDefault="005004B8" w:rsidP="005004B8">
                          <w:pPr>
                            <w:pStyle w:val="Sinespaciado"/>
                            <w:numPr>
                              <w:ilvl w:val="0"/>
                              <w:numId w:val="8"/>
                            </w:numPr>
                          </w:pPr>
                          <w:r>
                            <w:t>Régimen probatorio</w:t>
                          </w:r>
                        </w:p>
                        <w:p w:rsidR="005004B8" w:rsidRDefault="005004B8" w:rsidP="005004B8">
                          <w:pPr>
                            <w:pStyle w:val="Sinespaciado"/>
                            <w:numPr>
                              <w:ilvl w:val="0"/>
                              <w:numId w:val="8"/>
                            </w:numPr>
                          </w:pPr>
                          <w:r>
                            <w:t>La repetición o devolución de los impuestos.</w:t>
                          </w:r>
                        </w:p>
                        <w:p w:rsidR="00E34FC9" w:rsidRDefault="00E34FC9" w:rsidP="00E34FC9">
                          <w:pPr>
                            <w:pStyle w:val="Sinespaciado"/>
                            <w:numPr>
                              <w:ilvl w:val="0"/>
                              <w:numId w:val="8"/>
                            </w:numPr>
                          </w:pPr>
                          <w:r>
                            <w:t xml:space="preserve">Régimen sancionatorio </w:t>
                          </w:r>
                        </w:p>
                        <w:p w:rsidR="005004B8" w:rsidRDefault="005004B8" w:rsidP="00E34FC9">
                          <w:pPr>
                            <w:pStyle w:val="Sinespaciado"/>
                            <w:ind w:left="360"/>
                          </w:pPr>
                        </w:p>
                        <w:p w:rsidR="005004B8" w:rsidRDefault="005004B8" w:rsidP="005004B8">
                          <w:pPr>
                            <w:pStyle w:val="Sinespaciado"/>
                          </w:pPr>
                        </w:p>
                        <w:p w:rsidR="005004B8" w:rsidRDefault="005004B8" w:rsidP="005004B8">
                          <w:pPr>
                            <w:pStyle w:val="Sinespaciado"/>
                          </w:pPr>
                        </w:p>
                        <w:p w:rsidR="005004B8" w:rsidRDefault="005004B8" w:rsidP="005004B8">
                          <w:pPr>
                            <w:pStyle w:val="Sinespaciado"/>
                          </w:pPr>
                        </w:p>
                        <w:p w:rsidR="005004B8" w:rsidRDefault="005004B8" w:rsidP="0008737D">
                          <w:pPr>
                            <w:pStyle w:val="Sinespaciado"/>
                            <w:jc w:val="center"/>
                          </w:pPr>
                        </w:p>
                      </w:txbxContent>
                    </v:textbox>
                  </v:rect>
                  <v:shape id="_x0000_s1247" type="#_x0000_t32" style="position:absolute;left:9628;top:3003;width:0;height:1513" o:connectortype="straight" strokecolor="black [3200]" strokeweight="2.5pt">
                    <v:shadow color="#868686"/>
                  </v:shape>
                  <v:shapetype id="_x0000_t34" coordsize="21600,21600" o:spt="34" o:oned="t" adj="10800" path="m,l@0,0@0,21600,21600,21600e" filled="f">
                    <v:stroke joinstyle="miter"/>
                    <v:formulas>
                      <v:f eqn="val #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_x0000_s1250" type="#_x0000_t34" style="position:absolute;left:8533;top:7924;width:976;height:879;rotation:90" o:connectortype="elbow" adj=",-193958,-209361" strokecolor="black [3200]" strokeweight="2.5pt">
                    <v:stroke startarrow="block" endarrow="block"/>
                    <v:shadow color="#868686"/>
                  </v:shape>
                  <v:shapetype id="_x0000_t76" coordsize="21600,21600" o:spt="76" adj="6480,8640,4320" path="m10800,l@0@2@1@2@1@1@2@1@2@0,,10800@2@3@2@4@1@4@1@5@0@5,10800,21600@3@5@4@5@4@4@5@4@5@3,21600,10800@5@0@5@1@4@1@4@2@3@2xe">
                    <v:stroke joinstyle="miter"/>
                    <v:formulas>
                      <v:f eqn="val #0"/>
                      <v:f eqn="val #1"/>
                      <v:f eqn="val #2"/>
                      <v:f eqn="sum 21600 0 #0"/>
                      <v:f eqn="sum 21600 0 #1"/>
                      <v:f eqn="sum 21600 0 #2"/>
                      <v:f eqn="sum #0 0 10800"/>
                      <v:f eqn="sum #1 0 10800"/>
                      <v:f eqn="prod @7 #2 @6"/>
                      <v:f eqn="sum 21600 0 @8"/>
                    </v:formulas>
                    <v:path o:connecttype="rect" textboxrect="@8,@1,@9,@4;@1,@8,@4,@9"/>
                    <v:handles>
                      <v:h position="#0,topLeft" xrange="@2,@1"/>
                      <v:h position="#1,#2" xrange="@0,10800" yrange="0,@0"/>
                    </v:handles>
                  </v:shapetype>
                  <v:shape id="_x0000_s1254" type="#_x0000_t76" style="position:absolute;left:8339;top:9938;width:509;height:778" fillcolor="#4f81bd [3204]" strokecolor="#f2f2f2 [3041]" strokeweight="3pt">
                    <v:shadow on="t" type="perspective" color="#243f60 [1604]" opacity=".5" offset="1pt" offset2="-1pt"/>
                  </v:shape>
                </v:group>
              </v:group>
            </v:group>
          </v:group>
        </w:pict>
      </w:r>
    </w:p>
    <w:p w:rsidR="00BE2CBA" w:rsidRDefault="001618F7" w:rsidP="0008737D">
      <w:pPr>
        <w:tabs>
          <w:tab w:val="left" w:pos="8591"/>
        </w:tabs>
      </w:pPr>
      <w:r>
        <w:rPr>
          <w:noProof/>
          <w:lang w:eastAsia="es-SV"/>
        </w:rPr>
        <w:pict>
          <v:group id="_x0000_s1259" style="position:absolute;margin-left:551pt;margin-top:42.35pt;width:198.75pt;height:309pt;z-index:251735040" coordorigin="11740,2076" coordsize="3975,6180">
            <v:rect id="_x0000_s1203" style="position:absolute;left:13001;top:7709;width:1563;height:547" fillcolor="white [3201]" strokecolor="#4f81bd [3204]" strokeweight="2.5pt">
              <v:shadow color="#868686"/>
              <v:textbox style="mso-next-textbox:#_x0000_s1203">
                <w:txbxContent>
                  <w:p w:rsidR="0008737D" w:rsidRDefault="0008737D" w:rsidP="0008737D">
                    <w:pPr>
                      <w:pStyle w:val="Sinespaciado"/>
                    </w:pPr>
                    <w:r>
                      <w:t>Exenciones</w:t>
                    </w:r>
                  </w:p>
                </w:txbxContent>
              </v:textbox>
            </v:rect>
            <v:group id="_x0000_s1258" style="position:absolute;left:11740;top:2076;width:3975;height:5259" coordorigin="11740,2076" coordsize="3975,5259">
              <v:oval id="_x0000_s1197" style="position:absolute;left:12315;top:2076;width:2859;height:1059" fillcolor="#d99594 [1941]" strokecolor="#d99594 [1941]" strokeweight="1pt">
                <v:fill color2="#f2dbdb [661]" angle="-45" focusposition="1" focussize="" focus="-50%" type="gradient"/>
                <v:shadow on="t" type="perspective" color="#622423 [1605]" opacity=".5" offset="1pt" offset2="-3pt"/>
                <v:textbox style="mso-next-textbox:#_x0000_s1197">
                  <w:txbxContent>
                    <w:p w:rsidR="0008737D" w:rsidRDefault="0008737D" w:rsidP="00E34FC9">
                      <w:pPr>
                        <w:jc w:val="center"/>
                      </w:pPr>
                      <w:r>
                        <w:t>La obligación tributaria</w:t>
                      </w:r>
                    </w:p>
                  </w:txbxContent>
                </v:textbox>
              </v:oval>
              <v:rect id="_x0000_s1204" style="position:absolute;left:11740;top:4516;width:3796;height:577" fillcolor="white [3201]" strokecolor="#4f81bd [3204]" strokeweight="2.5pt">
                <v:shadow color="#868686"/>
                <v:textbox style="mso-next-textbox:#_x0000_s1204">
                  <w:txbxContent>
                    <w:p w:rsidR="0008737D" w:rsidRDefault="0008737D" w:rsidP="0008737D">
                      <w:pPr>
                        <w:pStyle w:val="Sinespaciado"/>
                      </w:pPr>
                      <w:r>
                        <w:t>Hecho generados y base imponible</w:t>
                      </w:r>
                    </w:p>
                  </w:txbxContent>
                </v:textbox>
              </v:rect>
              <v:rect id="_x0000_s1205" style="position:absolute;left:12047;top:6777;width:3489;height:558" fillcolor="white [3201]" strokecolor="#4f81bd [3204]" strokeweight="2.5pt">
                <v:shadow color="#868686"/>
                <v:textbox style="mso-next-textbox:#_x0000_s1205">
                  <w:txbxContent>
                    <w:p w:rsidR="0008737D" w:rsidRDefault="0008737D" w:rsidP="0008737D">
                      <w:pPr>
                        <w:pStyle w:val="Sinespaciado"/>
                      </w:pPr>
                      <w:r>
                        <w:t>Sujetos pasivos y responsabilidad</w:t>
                      </w:r>
                    </w:p>
                  </w:txbxContent>
                </v:textbox>
              </v:rect>
              <v:rect id="_x0000_s1206" style="position:absolute;left:11740;top:5481;width:3975;height:831" fillcolor="white [3201]" strokecolor="#4f81bd [3204]" strokeweight="2.5pt">
                <v:shadow color="#868686"/>
                <v:textbox style="mso-next-textbox:#_x0000_s1206">
                  <w:txbxContent>
                    <w:p w:rsidR="0008737D" w:rsidRDefault="0008737D" w:rsidP="0008737D">
                      <w:pPr>
                        <w:pStyle w:val="Sinespaciado"/>
                      </w:pPr>
                      <w:r>
                        <w:t xml:space="preserve">Sujeto activo de la obligación jurídico tributaria </w:t>
                      </w:r>
                    </w:p>
                  </w:txbxContent>
                </v:textbox>
              </v:rect>
              <v:shape id="_x0000_s1248" type="#_x0000_t32" style="position:absolute;left:13714;top:3133;width:0;height:1383" o:connectortype="straight" strokecolor="black [3200]" strokeweight="2.5pt">
                <v:shadow color="#868686"/>
              </v:shape>
              <v:shape id="_x0000_s1255" type="#_x0000_t32" style="position:absolute;left:13714;top:5093;width:0;height:388" o:connectortype="straight" strokecolor="black [3200]" strokeweight="2.5pt">
                <v:shadow color="#868686"/>
              </v:shape>
              <v:shape id="_x0000_s1257" type="#_x0000_t32" style="position:absolute;left:13714;top:6312;width:0;height:388" o:connectortype="straight" strokecolor="black [3200]" strokeweight="2.5pt">
                <v:shadow color="#868686"/>
              </v:shape>
            </v:group>
          </v:group>
        </w:pict>
      </w:r>
      <w:r>
        <w:rPr>
          <w:noProof/>
          <w:lang w:eastAsia="es-SV"/>
        </w:rPr>
        <w:pict>
          <v:shape id="_x0000_s1256" type="#_x0000_t32" style="position:absolute;margin-left:649.7pt;margin-top:304.6pt;width:0;height:19.4pt;z-index:251731968" o:connectortype="straight" strokecolor="black [3200]" strokeweight="2.5pt">
            <v:shadow color="#868686"/>
          </v:shape>
        </w:pict>
      </w:r>
    </w:p>
    <w:sectPr w:rsidR="00BE2CBA" w:rsidSect="003102D5">
      <w:pgSz w:w="15840" w:h="1224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637BA"/>
    <w:multiLevelType w:val="hybridMultilevel"/>
    <w:tmpl w:val="2CD44B52"/>
    <w:lvl w:ilvl="0" w:tplc="4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D84D15"/>
    <w:multiLevelType w:val="hybridMultilevel"/>
    <w:tmpl w:val="B19C2C38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91B8D"/>
    <w:multiLevelType w:val="hybridMultilevel"/>
    <w:tmpl w:val="2FC87C10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AC4EC6"/>
    <w:multiLevelType w:val="hybridMultilevel"/>
    <w:tmpl w:val="9D08BC64"/>
    <w:lvl w:ilvl="0" w:tplc="4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D377CC3"/>
    <w:multiLevelType w:val="hybridMultilevel"/>
    <w:tmpl w:val="4FBC5990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C6B34"/>
    <w:multiLevelType w:val="hybridMultilevel"/>
    <w:tmpl w:val="FDBCD906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BE1450"/>
    <w:multiLevelType w:val="hybridMultilevel"/>
    <w:tmpl w:val="E304BB22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9E6DB9"/>
    <w:multiLevelType w:val="hybridMultilevel"/>
    <w:tmpl w:val="3BE66690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102D5"/>
    <w:rsid w:val="000726D4"/>
    <w:rsid w:val="0008737D"/>
    <w:rsid w:val="00114CC1"/>
    <w:rsid w:val="001618F7"/>
    <w:rsid w:val="0017552F"/>
    <w:rsid w:val="003102D5"/>
    <w:rsid w:val="004B1A18"/>
    <w:rsid w:val="005004B8"/>
    <w:rsid w:val="00535537"/>
    <w:rsid w:val="005A7055"/>
    <w:rsid w:val="0066632F"/>
    <w:rsid w:val="006817DF"/>
    <w:rsid w:val="00682004"/>
    <w:rsid w:val="0077195C"/>
    <w:rsid w:val="007A179F"/>
    <w:rsid w:val="00973BA3"/>
    <w:rsid w:val="009D594B"/>
    <w:rsid w:val="00AC71F6"/>
    <w:rsid w:val="00B54750"/>
    <w:rsid w:val="00BE2CBA"/>
    <w:rsid w:val="00D60BDF"/>
    <w:rsid w:val="00E34FC9"/>
    <w:rsid w:val="00E714DD"/>
    <w:rsid w:val="00EB6511"/>
    <w:rsid w:val="00F14510"/>
    <w:rsid w:val="00F55D64"/>
    <w:rsid w:val="00F71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5" type="connector" idref="#_x0000_s1255"/>
        <o:r id="V:Rule16" type="connector" idref="#_x0000_s1248"/>
        <o:r id="V:Rule17" type="connector" idref="#_x0000_s1247"/>
        <o:r id="V:Rule18" type="connector" idref="#_x0000_s1250"/>
        <o:r id="V:Rule19" type="connector" idref="#_x0000_s1235"/>
        <o:r id="V:Rule20" type="connector" idref="#_x0000_s1244"/>
        <o:r id="V:Rule21" type="connector" idref="#_x0000_s1256"/>
        <o:r id="V:Rule22" type="connector" idref="#_x0000_s1257"/>
        <o:r id="V:Rule23" type="connector" idref="#_x0000_s1243"/>
        <o:r id="V:Rule24" type="connector" idref="#_x0000_s1245"/>
        <o:r id="V:Rule25" type="connector" idref="#_x0000_s1238"/>
        <o:r id="V:Rule26" type="connector" idref="#_x0000_s1240"/>
        <o:r id="V:Rule27" type="connector" idref="#_x0000_s1237"/>
        <o:r id="V:Rule28" type="connector" idref="#_x0000_s12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2D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3102D5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81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17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53D03-D2D9-4106-8817-CA224F4A1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</dc:creator>
  <cp:lastModifiedBy>USUARIO</cp:lastModifiedBy>
  <cp:revision>7</cp:revision>
  <dcterms:created xsi:type="dcterms:W3CDTF">2013-10-12T03:49:00Z</dcterms:created>
  <dcterms:modified xsi:type="dcterms:W3CDTF">2013-10-12T04:04:00Z</dcterms:modified>
</cp:coreProperties>
</file>