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4CFE" w:rsidRPr="004C4CFE" w:rsidRDefault="004C4CFE" w:rsidP="004C4CFE">
      <w:pPr>
        <w:pStyle w:val="Ttulo1"/>
        <w:tabs>
          <w:tab w:val="center" w:pos="4419"/>
          <w:tab w:val="left" w:pos="5696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es-SV"/>
        </w:rPr>
      </w:pPr>
      <w:r w:rsidRPr="004C4CFE">
        <w:rPr>
          <w:rFonts w:ascii="Times New Roman" w:eastAsia="Times New Roman" w:hAnsi="Times New Roman" w:cs="Times New Roman"/>
          <w:sz w:val="24"/>
          <w:szCs w:val="24"/>
          <w:lang w:eastAsia="es-SV"/>
        </w:rPr>
        <w:tab/>
      </w:r>
      <w:r w:rsidRPr="004C4CFE">
        <w:rPr>
          <w:rFonts w:ascii="Times New Roman" w:eastAsia="Times New Roman" w:hAnsi="Times New Roman" w:cs="Times New Roman"/>
          <w:sz w:val="24"/>
          <w:szCs w:val="24"/>
          <w:lang w:eastAsia="es-SV"/>
        </w:rPr>
        <w:t>CODIGO PENAL</w:t>
      </w:r>
      <w:r w:rsidRPr="004C4CFE">
        <w:rPr>
          <w:rFonts w:ascii="Times New Roman" w:eastAsia="Times New Roman" w:hAnsi="Times New Roman" w:cs="Times New Roman"/>
          <w:sz w:val="24"/>
          <w:szCs w:val="24"/>
          <w:lang w:eastAsia="es-SV"/>
        </w:rPr>
        <w:tab/>
      </w:r>
    </w:p>
    <w:p w:rsidR="004C4CFE" w:rsidRPr="004C4CFE" w:rsidRDefault="004C4CFE" w:rsidP="004C4CFE">
      <w:pPr>
        <w:jc w:val="both"/>
        <w:rPr>
          <w:rFonts w:ascii="Times New Roman" w:hAnsi="Times New Roman" w:cs="Times New Roman"/>
          <w:sz w:val="24"/>
          <w:szCs w:val="24"/>
          <w:lang w:eastAsia="es-SV"/>
        </w:rPr>
      </w:pPr>
    </w:p>
    <w:p w:rsidR="004C4CFE" w:rsidRPr="004C4CFE" w:rsidRDefault="004C4CFE" w:rsidP="004C4CFE">
      <w:pPr>
        <w:jc w:val="both"/>
        <w:rPr>
          <w:rFonts w:ascii="Times New Roman" w:hAnsi="Times New Roman" w:cs="Times New Roman"/>
          <w:sz w:val="24"/>
          <w:szCs w:val="24"/>
        </w:rPr>
      </w:pPr>
      <w:r w:rsidRPr="004C4CFE">
        <w:rPr>
          <w:rFonts w:ascii="Times New Roman" w:hAnsi="Times New Roman" w:cs="Times New Roman"/>
          <w:sz w:val="24"/>
          <w:szCs w:val="24"/>
        </w:rPr>
        <w:t>Los principales artículos que se destacan dentro del código penal con relación a la auditoria forense son los siguientes:</w:t>
      </w:r>
    </w:p>
    <w:p w:rsidR="004C4CFE" w:rsidRPr="004C4CFE" w:rsidRDefault="004C4CFE" w:rsidP="004C4CFE">
      <w:pPr>
        <w:pStyle w:val="Ttulo3"/>
        <w:jc w:val="both"/>
        <w:rPr>
          <w:rFonts w:ascii="Times New Roman" w:eastAsia="Times New Roman" w:hAnsi="Times New Roman" w:cs="Times New Roman"/>
          <w:sz w:val="24"/>
          <w:szCs w:val="24"/>
          <w:lang w:eastAsia="es-SV"/>
        </w:rPr>
      </w:pPr>
      <w:r w:rsidRPr="004C4CFE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ESTAFA </w:t>
      </w:r>
    </w:p>
    <w:p w:rsidR="004C4CFE" w:rsidRPr="004C4CFE" w:rsidRDefault="004C4CFE" w:rsidP="004C4C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SV"/>
        </w:rPr>
      </w:pPr>
      <w:r w:rsidRPr="004C4CFE">
        <w:rPr>
          <w:rFonts w:ascii="Times New Roman" w:eastAsia="Times New Roman" w:hAnsi="Times New Roman" w:cs="Times New Roman"/>
          <w:sz w:val="24"/>
          <w:szCs w:val="24"/>
          <w:lang w:eastAsia="es-SV"/>
        </w:rPr>
        <w:t>Hace referencia a la entrega de activos o bienes, cuando una persona es forzada por otra a eso se le conoce como estafa.</w:t>
      </w:r>
    </w:p>
    <w:p w:rsidR="004C4CFE" w:rsidRPr="004C4CFE" w:rsidRDefault="004C4CFE" w:rsidP="004C4C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SV"/>
        </w:rPr>
      </w:pPr>
      <w:r w:rsidRPr="004C4CFE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Según el código penal el que obtuviere para sí o para otro un provecho injusto en perjuicio ajeno, mediante ardid o cualquier otro medio de engañar o sorprender la buena fe, será sancionado con prisión de dos a cinco años si la defraudación fuere mayor de quinientos colones. </w:t>
      </w:r>
    </w:p>
    <w:p w:rsidR="004C4CFE" w:rsidRPr="004C4CFE" w:rsidRDefault="004C4CFE" w:rsidP="004C4CFE">
      <w:pPr>
        <w:pStyle w:val="Ttulo3"/>
        <w:jc w:val="both"/>
        <w:rPr>
          <w:rFonts w:ascii="Times New Roman" w:eastAsia="Times New Roman" w:hAnsi="Times New Roman" w:cs="Times New Roman"/>
          <w:sz w:val="24"/>
          <w:szCs w:val="24"/>
          <w:lang w:eastAsia="es-SV"/>
        </w:rPr>
      </w:pPr>
      <w:r w:rsidRPr="004C4CFE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ESTAFA AGRAVADA </w:t>
      </w:r>
    </w:p>
    <w:p w:rsidR="004C4CFE" w:rsidRPr="004C4CFE" w:rsidRDefault="004C4CFE" w:rsidP="004C4C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SV"/>
        </w:rPr>
      </w:pPr>
    </w:p>
    <w:p w:rsidR="004C4CFE" w:rsidRPr="004C4CFE" w:rsidRDefault="004C4CFE" w:rsidP="004C4C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SV"/>
        </w:rPr>
      </w:pPr>
      <w:r w:rsidRPr="004C4CFE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El delito de estafa será sancionado con prisión de cinco a ocho años, en los casos siguientes: </w:t>
      </w:r>
    </w:p>
    <w:p w:rsidR="004C4CFE" w:rsidRPr="004C4CFE" w:rsidRDefault="004C4CFE" w:rsidP="004C4CFE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SV"/>
        </w:rPr>
      </w:pPr>
      <w:r w:rsidRPr="004C4CFE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Si recayere sobre artículos de primera necesidad, viviendas o terrenos destinados a la construcción de viviendas; </w:t>
      </w:r>
    </w:p>
    <w:p w:rsidR="004C4CFE" w:rsidRPr="004C4CFE" w:rsidRDefault="004C4CFE" w:rsidP="004C4CFE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SV"/>
        </w:rPr>
      </w:pPr>
      <w:r w:rsidRPr="004C4CFE">
        <w:rPr>
          <w:rFonts w:ascii="Times New Roman" w:eastAsia="Times New Roman" w:hAnsi="Times New Roman" w:cs="Times New Roman"/>
          <w:sz w:val="24"/>
          <w:szCs w:val="24"/>
          <w:lang w:eastAsia="es-SV"/>
        </w:rPr>
        <w:t>Cuando se colocare a la víctima o su familia en grave situación económica, o se realizare con abuso de las condiciones personales de la víctima o aprovechándose el autor de su credibilidad empresarial o profesional; etc.</w:t>
      </w:r>
    </w:p>
    <w:p w:rsidR="004C4CFE" w:rsidRPr="004C4CFE" w:rsidRDefault="004C4CFE" w:rsidP="004C4CFE">
      <w:pPr>
        <w:pStyle w:val="Ttulo3"/>
        <w:jc w:val="both"/>
        <w:rPr>
          <w:rFonts w:ascii="Times New Roman" w:eastAsia="Times New Roman" w:hAnsi="Times New Roman" w:cs="Times New Roman"/>
          <w:sz w:val="24"/>
          <w:szCs w:val="24"/>
          <w:lang w:eastAsia="es-SV"/>
        </w:rPr>
      </w:pPr>
      <w:r w:rsidRPr="004C4CFE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APROPIACION O RETENCION INDEBIDAS </w:t>
      </w:r>
    </w:p>
    <w:p w:rsidR="004C4CFE" w:rsidRPr="004C4CFE" w:rsidRDefault="004C4CFE" w:rsidP="004C4C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SV"/>
        </w:rPr>
      </w:pPr>
    </w:p>
    <w:p w:rsidR="004C4CFE" w:rsidRPr="004C4CFE" w:rsidRDefault="004C4CFE" w:rsidP="004C4C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SV"/>
        </w:rPr>
      </w:pPr>
      <w:r w:rsidRPr="004C4CFE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Como dentro del mismo artículo lo menciona una estafa agravada es que teniendo bajo su poder o custodia una cosa mueble ajena por un título que produzca obligación de entregar o devolver la cosa o su valor, se apropiaren de ella o no la entregare o restituyere a su debido tiempo en perjuicio de otro, será sancionado con prisión de dos a cuatro años. </w:t>
      </w:r>
    </w:p>
    <w:p w:rsidR="004C4CFE" w:rsidRPr="004C4CFE" w:rsidRDefault="004C4CFE" w:rsidP="004C4C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SV"/>
        </w:rPr>
      </w:pPr>
    </w:p>
    <w:p w:rsidR="004C4CFE" w:rsidRPr="004C4CFE" w:rsidRDefault="004C4CFE" w:rsidP="004C4CFE">
      <w:pPr>
        <w:pStyle w:val="Ttulo3"/>
        <w:jc w:val="both"/>
        <w:rPr>
          <w:rFonts w:ascii="Times New Roman" w:eastAsia="Times New Roman" w:hAnsi="Times New Roman" w:cs="Times New Roman"/>
          <w:sz w:val="24"/>
          <w:szCs w:val="24"/>
          <w:lang w:eastAsia="es-SV"/>
        </w:rPr>
      </w:pPr>
      <w:r w:rsidRPr="004C4CFE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ADMINISTRACION FRAUDULENTA </w:t>
      </w:r>
    </w:p>
    <w:p w:rsidR="004C4CFE" w:rsidRPr="004C4CFE" w:rsidRDefault="004C4CFE" w:rsidP="004C4C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SV"/>
        </w:rPr>
      </w:pPr>
    </w:p>
    <w:p w:rsidR="004C4CFE" w:rsidRPr="004C4CFE" w:rsidRDefault="004C4CFE" w:rsidP="004C4C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SV"/>
        </w:rPr>
      </w:pPr>
      <w:r w:rsidRPr="004C4CFE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Se basa en los fraudes cometidos por la administración. </w:t>
      </w:r>
    </w:p>
    <w:p w:rsidR="004C4CFE" w:rsidRPr="004C4CFE" w:rsidRDefault="004C4CFE" w:rsidP="004C4CF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C4CFE" w:rsidRPr="004C4CFE" w:rsidRDefault="004C4CFE" w:rsidP="004C4CFE">
      <w:pPr>
        <w:pStyle w:val="Ttulo3"/>
        <w:jc w:val="both"/>
        <w:rPr>
          <w:rFonts w:ascii="Times New Roman" w:eastAsia="Times New Roman" w:hAnsi="Times New Roman" w:cs="Times New Roman"/>
          <w:sz w:val="24"/>
          <w:szCs w:val="24"/>
          <w:lang w:eastAsia="es-SV"/>
        </w:rPr>
      </w:pPr>
      <w:r w:rsidRPr="004C4CFE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FALSO TESTIMONIO </w:t>
      </w:r>
    </w:p>
    <w:p w:rsidR="004C4CFE" w:rsidRPr="004C4CFE" w:rsidRDefault="004C4CFE" w:rsidP="004C4C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SV"/>
        </w:rPr>
      </w:pPr>
      <w:r w:rsidRPr="004C4CFE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Cuando una testigo sabiendo la verdad no lo dice o es distorsionada con el fin de dar beneficios a un tercero. Y por la ocultación de información o distorsionarla será sancionado con </w:t>
      </w:r>
      <w:proofErr w:type="spellStart"/>
      <w:r w:rsidRPr="004C4CFE">
        <w:rPr>
          <w:rFonts w:ascii="Times New Roman" w:eastAsia="Times New Roman" w:hAnsi="Times New Roman" w:cs="Times New Roman"/>
          <w:sz w:val="24"/>
          <w:szCs w:val="24"/>
          <w:lang w:eastAsia="es-SV"/>
        </w:rPr>
        <w:t>prision</w:t>
      </w:r>
      <w:proofErr w:type="spellEnd"/>
      <w:r w:rsidRPr="004C4CFE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de dos a cinco años. </w:t>
      </w:r>
    </w:p>
    <w:p w:rsidR="004C4CFE" w:rsidRPr="004C4CFE" w:rsidRDefault="004C4CFE" w:rsidP="004C4C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SV"/>
        </w:rPr>
      </w:pPr>
      <w:r w:rsidRPr="004C4CFE">
        <w:rPr>
          <w:rFonts w:ascii="Times New Roman" w:eastAsia="Times New Roman" w:hAnsi="Times New Roman" w:cs="Times New Roman"/>
          <w:sz w:val="24"/>
          <w:szCs w:val="24"/>
          <w:lang w:eastAsia="es-SV"/>
        </w:rPr>
        <w:t>Entre otros enunciados se pueden mencionar:</w:t>
      </w:r>
    </w:p>
    <w:p w:rsidR="004C4CFE" w:rsidRPr="004C4CFE" w:rsidRDefault="004C4CFE" w:rsidP="004C4CFE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SV"/>
        </w:rPr>
      </w:pPr>
      <w:r w:rsidRPr="004C4CFE">
        <w:rPr>
          <w:rFonts w:ascii="Times New Roman" w:eastAsia="Times New Roman" w:hAnsi="Times New Roman" w:cs="Times New Roman"/>
          <w:sz w:val="24"/>
          <w:szCs w:val="24"/>
          <w:lang w:eastAsia="es-SV"/>
        </w:rPr>
        <w:t>De la corrupción o peculado</w:t>
      </w:r>
    </w:p>
    <w:p w:rsidR="004C4CFE" w:rsidRPr="004C4CFE" w:rsidRDefault="004C4CFE" w:rsidP="004C4CFE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4CFE">
        <w:rPr>
          <w:rFonts w:ascii="Times New Roman" w:eastAsia="Times New Roman" w:hAnsi="Times New Roman" w:cs="Times New Roman"/>
          <w:sz w:val="24"/>
          <w:szCs w:val="24"/>
          <w:lang w:eastAsia="es-SV"/>
        </w:rPr>
        <w:t>Peculado por culpa</w:t>
      </w:r>
    </w:p>
    <w:p w:rsidR="004C4CFE" w:rsidRPr="004C4CFE" w:rsidRDefault="004C4CFE" w:rsidP="004C4CFE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C4CFE">
        <w:rPr>
          <w:rFonts w:ascii="Times New Roman" w:eastAsia="Times New Roman" w:hAnsi="Times New Roman" w:cs="Times New Roman"/>
          <w:sz w:val="24"/>
          <w:szCs w:val="24"/>
          <w:lang w:eastAsia="es-SV"/>
        </w:rPr>
        <w:t>Malversacion</w:t>
      </w:r>
      <w:proofErr w:type="spellEnd"/>
    </w:p>
    <w:p w:rsidR="004C4CFE" w:rsidRDefault="004C4CFE" w:rsidP="004C4CFE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4CFE">
        <w:rPr>
          <w:rFonts w:ascii="Times New Roman" w:hAnsi="Times New Roman" w:cs="Times New Roman"/>
          <w:sz w:val="24"/>
          <w:szCs w:val="24"/>
        </w:rPr>
        <w:t>Enriquecimiento ilícito</w:t>
      </w:r>
    </w:p>
    <w:p w:rsidR="004C4CFE" w:rsidRPr="004C4CFE" w:rsidRDefault="004C4CFE" w:rsidP="004C4C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4C4CFE" w:rsidRDefault="004C4CFE" w:rsidP="004C4CFE">
      <w:pPr>
        <w:pStyle w:val="Prrafodelista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4CFE" w:rsidRPr="004C4CFE" w:rsidRDefault="004C4CFE" w:rsidP="004C4CFE">
      <w:pPr>
        <w:pStyle w:val="Prrafodelista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4CFE" w:rsidRPr="004C4CFE" w:rsidRDefault="004C4CFE" w:rsidP="004C4CFE">
      <w:pPr>
        <w:pStyle w:val="Ttulo1"/>
        <w:jc w:val="both"/>
        <w:rPr>
          <w:rFonts w:ascii="Times New Roman" w:hAnsi="Times New Roman" w:cs="Times New Roman"/>
          <w:sz w:val="24"/>
          <w:szCs w:val="24"/>
        </w:rPr>
      </w:pPr>
      <w:r w:rsidRPr="004C4CFE">
        <w:rPr>
          <w:rFonts w:ascii="Times New Roman" w:hAnsi="Times New Roman" w:cs="Times New Roman"/>
          <w:sz w:val="24"/>
          <w:szCs w:val="24"/>
        </w:rPr>
        <w:t>LEY REGULADORA DEL EJERCICIO DE LA CNTADURIA PÚBLICA Y AUDITORIA</w:t>
      </w:r>
    </w:p>
    <w:p w:rsidR="004C4CFE" w:rsidRPr="004C4CFE" w:rsidRDefault="004C4CFE" w:rsidP="004C4C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SV"/>
        </w:rPr>
      </w:pPr>
      <w:r w:rsidRPr="004C4CFE">
        <w:rPr>
          <w:rFonts w:ascii="Times New Roman" w:eastAsia="Times New Roman" w:hAnsi="Times New Roman" w:cs="Times New Roman"/>
          <w:sz w:val="24"/>
          <w:szCs w:val="24"/>
          <w:lang w:eastAsia="es-SV"/>
        </w:rPr>
        <w:t>Entre sus principales artículos se destacan los siguientes:</w:t>
      </w:r>
    </w:p>
    <w:p w:rsidR="004C4CFE" w:rsidRPr="004C4CFE" w:rsidRDefault="004C4CFE" w:rsidP="004C4CFE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SV"/>
        </w:rPr>
      </w:pPr>
      <w:r w:rsidRPr="004C4CFE">
        <w:rPr>
          <w:rFonts w:ascii="Times New Roman" w:eastAsia="Times New Roman" w:hAnsi="Times New Roman" w:cs="Times New Roman"/>
          <w:sz w:val="24"/>
          <w:szCs w:val="24"/>
          <w:lang w:eastAsia="es-SV"/>
        </w:rPr>
        <w:t>Atribuciones del contador</w:t>
      </w:r>
    </w:p>
    <w:p w:rsidR="004C4CFE" w:rsidRPr="004C4CFE" w:rsidRDefault="004C4CFE" w:rsidP="004C4CFE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SV"/>
        </w:rPr>
      </w:pPr>
      <w:r w:rsidRPr="004C4CFE">
        <w:rPr>
          <w:rFonts w:ascii="Times New Roman" w:eastAsia="Times New Roman" w:hAnsi="Times New Roman" w:cs="Times New Roman"/>
          <w:sz w:val="24"/>
          <w:szCs w:val="24"/>
          <w:lang w:eastAsia="es-SV"/>
        </w:rPr>
        <w:t>Firma y sello de dictámenes, informes o estudios.</w:t>
      </w:r>
    </w:p>
    <w:p w:rsidR="004C4CFE" w:rsidRPr="004C4CFE" w:rsidRDefault="004C4CFE" w:rsidP="004C4C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SV"/>
        </w:rPr>
      </w:pPr>
    </w:p>
    <w:p w:rsidR="004C4CFE" w:rsidRPr="004C4CFE" w:rsidRDefault="004C4CFE" w:rsidP="004C4C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SV"/>
        </w:rPr>
      </w:pPr>
    </w:p>
    <w:p w:rsidR="004C4CFE" w:rsidRPr="004C4CFE" w:rsidRDefault="004C4CFE" w:rsidP="004C4C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SV"/>
        </w:rPr>
      </w:pPr>
    </w:p>
    <w:p w:rsidR="004C4CFE" w:rsidRPr="004C4CFE" w:rsidRDefault="004C4CFE" w:rsidP="004C4C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SV"/>
        </w:rPr>
      </w:pPr>
      <w:r w:rsidRPr="004C4CFE">
        <w:rPr>
          <w:rFonts w:ascii="Times New Roman" w:eastAsia="Times New Roman" w:hAnsi="Times New Roman" w:cs="Times New Roman"/>
          <w:sz w:val="24"/>
          <w:szCs w:val="24"/>
          <w:lang w:eastAsia="es-SV"/>
        </w:rPr>
        <w:t>Sus infracciones y sanciones:</w:t>
      </w:r>
    </w:p>
    <w:p w:rsidR="004C4CFE" w:rsidRPr="004C4CFE" w:rsidRDefault="004C4CFE" w:rsidP="004C4CFE">
      <w:pPr>
        <w:pStyle w:val="Ttulo3"/>
        <w:jc w:val="both"/>
        <w:rPr>
          <w:rFonts w:ascii="Times New Roman" w:eastAsia="Times New Roman" w:hAnsi="Times New Roman" w:cs="Times New Roman"/>
          <w:sz w:val="24"/>
          <w:szCs w:val="24"/>
          <w:lang w:eastAsia="es-SV"/>
        </w:rPr>
      </w:pPr>
      <w:r w:rsidRPr="004C4CFE">
        <w:rPr>
          <w:rFonts w:ascii="Times New Roman" w:eastAsia="Times New Roman" w:hAnsi="Times New Roman" w:cs="Times New Roman"/>
          <w:sz w:val="24"/>
          <w:szCs w:val="24"/>
          <w:lang w:eastAsia="es-SV"/>
        </w:rPr>
        <w:t>INFRACCIONES</w:t>
      </w:r>
    </w:p>
    <w:p w:rsidR="004C4CFE" w:rsidRPr="004C4CFE" w:rsidRDefault="004C4CFE" w:rsidP="004C4C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SV"/>
        </w:rPr>
      </w:pPr>
      <w:r w:rsidRPr="004C4CFE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Para los efectos de esta Ley, se entenderá como infracciones cometidas por los </w:t>
      </w:r>
    </w:p>
    <w:p w:rsidR="004C4CFE" w:rsidRPr="004C4CFE" w:rsidRDefault="004C4CFE" w:rsidP="004C4C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SV"/>
        </w:rPr>
      </w:pPr>
      <w:r w:rsidRPr="004C4CFE">
        <w:rPr>
          <w:rFonts w:ascii="Times New Roman" w:eastAsia="Times New Roman" w:hAnsi="Times New Roman" w:cs="Times New Roman"/>
          <w:sz w:val="24"/>
          <w:szCs w:val="24"/>
          <w:lang w:eastAsia="es-SV"/>
        </w:rPr>
        <w:t>Contadores Públicos, el incumplimiento de las obligaciones establecidas en la presente Ley.</w:t>
      </w:r>
    </w:p>
    <w:p w:rsidR="004C4CFE" w:rsidRPr="004C4CFE" w:rsidRDefault="004C4CFE" w:rsidP="004C4CFE">
      <w:pPr>
        <w:pStyle w:val="Ttulo3"/>
        <w:jc w:val="both"/>
        <w:rPr>
          <w:rFonts w:ascii="Times New Roman" w:eastAsia="Times New Roman" w:hAnsi="Times New Roman" w:cs="Times New Roman"/>
          <w:sz w:val="24"/>
          <w:szCs w:val="24"/>
          <w:lang w:eastAsia="es-SV"/>
        </w:rPr>
      </w:pPr>
      <w:r w:rsidRPr="004C4CFE">
        <w:rPr>
          <w:rFonts w:ascii="Times New Roman" w:eastAsia="Times New Roman" w:hAnsi="Times New Roman" w:cs="Times New Roman"/>
          <w:sz w:val="24"/>
          <w:szCs w:val="24"/>
          <w:lang w:eastAsia="es-SV"/>
        </w:rPr>
        <w:t>APLICACIÓN DE SANCIONES</w:t>
      </w:r>
    </w:p>
    <w:p w:rsidR="004C4CFE" w:rsidRDefault="004C4CFE" w:rsidP="004C4C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SV"/>
        </w:rPr>
      </w:pPr>
      <w:r w:rsidRPr="004C4CFE">
        <w:rPr>
          <w:rFonts w:ascii="Times New Roman" w:eastAsia="Times New Roman" w:hAnsi="Times New Roman" w:cs="Times New Roman"/>
          <w:sz w:val="24"/>
          <w:szCs w:val="24"/>
          <w:lang w:eastAsia="es-SV"/>
        </w:rPr>
        <w:t>El Consejo será el encargado de aplicar las sanciones a los contadores públicos, ya sean personas naturales o jurídicas, que incumplan las disposiciones legales, así como las resoluciones emitidas válidamente por el mismo.</w:t>
      </w:r>
    </w:p>
    <w:p w:rsidR="004C4CFE" w:rsidRDefault="004C4CFE" w:rsidP="004C4C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SV"/>
        </w:rPr>
      </w:pPr>
    </w:p>
    <w:p w:rsidR="004C4CFE" w:rsidRDefault="004C4CFE" w:rsidP="004C4C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SV"/>
        </w:rPr>
      </w:pPr>
    </w:p>
    <w:p w:rsidR="004C4CFE" w:rsidRDefault="004C4CFE" w:rsidP="004C4C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SV"/>
        </w:rPr>
      </w:pPr>
    </w:p>
    <w:p w:rsidR="004C4CFE" w:rsidRDefault="004C4CFE" w:rsidP="004C4C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SV"/>
        </w:rPr>
      </w:pPr>
    </w:p>
    <w:p w:rsidR="004C4CFE" w:rsidRDefault="004C4CFE" w:rsidP="004C4C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SV"/>
        </w:rPr>
      </w:pPr>
    </w:p>
    <w:p w:rsidR="004C4CFE" w:rsidRDefault="004C4CFE" w:rsidP="004C4C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SV"/>
        </w:rPr>
      </w:pPr>
    </w:p>
    <w:p w:rsidR="004C4CFE" w:rsidRDefault="004C4CFE" w:rsidP="004C4C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SV"/>
        </w:rPr>
      </w:pPr>
    </w:p>
    <w:p w:rsidR="004C4CFE" w:rsidRDefault="004C4CFE" w:rsidP="004C4C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SV"/>
        </w:rPr>
      </w:pPr>
    </w:p>
    <w:p w:rsidR="004C4CFE" w:rsidRDefault="004C4CFE" w:rsidP="004C4C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SV"/>
        </w:rPr>
      </w:pPr>
    </w:p>
    <w:p w:rsidR="004C4CFE" w:rsidRDefault="004C4CFE" w:rsidP="004C4C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SV"/>
        </w:rPr>
      </w:pPr>
    </w:p>
    <w:p w:rsidR="004C4CFE" w:rsidRDefault="004C4CFE" w:rsidP="004C4C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SV"/>
        </w:rPr>
      </w:pPr>
    </w:p>
    <w:p w:rsidR="004C4CFE" w:rsidRDefault="004C4CFE" w:rsidP="004C4C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SV"/>
        </w:rPr>
      </w:pPr>
    </w:p>
    <w:p w:rsidR="004C4CFE" w:rsidRDefault="004C4CFE" w:rsidP="004C4C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SV"/>
        </w:rPr>
      </w:pPr>
    </w:p>
    <w:p w:rsidR="004C4CFE" w:rsidRDefault="004C4CFE" w:rsidP="004C4C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SV"/>
        </w:rPr>
      </w:pPr>
    </w:p>
    <w:p w:rsidR="004C4CFE" w:rsidRDefault="004C4CFE" w:rsidP="004C4C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SV"/>
        </w:rPr>
      </w:pPr>
    </w:p>
    <w:p w:rsidR="004C4CFE" w:rsidRDefault="004C4CFE" w:rsidP="004C4C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SV"/>
        </w:rPr>
      </w:pPr>
    </w:p>
    <w:p w:rsidR="004C4CFE" w:rsidRDefault="004C4CFE" w:rsidP="004C4C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SV"/>
        </w:rPr>
      </w:pPr>
    </w:p>
    <w:p w:rsidR="004C4CFE" w:rsidRDefault="004C4CFE" w:rsidP="004C4C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SV"/>
        </w:rPr>
      </w:pPr>
    </w:p>
    <w:p w:rsidR="004C4CFE" w:rsidRDefault="004C4CFE" w:rsidP="004C4C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SV"/>
        </w:rPr>
      </w:pPr>
    </w:p>
    <w:p w:rsidR="004C4CFE" w:rsidRDefault="004C4CFE" w:rsidP="004C4C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SV"/>
        </w:rPr>
      </w:pPr>
    </w:p>
    <w:p w:rsidR="004C4CFE" w:rsidRDefault="004C4CFE" w:rsidP="004C4C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SV"/>
        </w:rPr>
      </w:pPr>
    </w:p>
    <w:p w:rsidR="004C4CFE" w:rsidRDefault="004C4CFE" w:rsidP="004C4C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SV"/>
        </w:rPr>
      </w:pPr>
    </w:p>
    <w:p w:rsidR="004C4CFE" w:rsidRDefault="004C4CFE" w:rsidP="004C4C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SV"/>
        </w:rPr>
      </w:pPr>
    </w:p>
    <w:p w:rsidR="004C4CFE" w:rsidRDefault="004C4CFE" w:rsidP="004C4C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SV"/>
        </w:rPr>
      </w:pPr>
    </w:p>
    <w:p w:rsidR="004C4CFE" w:rsidRDefault="004C4CFE" w:rsidP="004C4C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SV"/>
        </w:rPr>
      </w:pPr>
    </w:p>
    <w:p w:rsidR="004C4CFE" w:rsidRDefault="004C4CFE" w:rsidP="004C4C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SV"/>
        </w:rPr>
      </w:pPr>
    </w:p>
    <w:p w:rsidR="004C4CFE" w:rsidRDefault="004C4CFE" w:rsidP="004C4C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SV"/>
        </w:rPr>
      </w:pPr>
    </w:p>
    <w:p w:rsidR="004C4CFE" w:rsidRDefault="004C4CFE" w:rsidP="004C4C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SV"/>
        </w:rPr>
      </w:pPr>
    </w:p>
    <w:p w:rsidR="004C4CFE" w:rsidRPr="004C4CFE" w:rsidRDefault="004C4CFE" w:rsidP="004C4C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SV"/>
        </w:rPr>
      </w:pPr>
    </w:p>
    <w:p w:rsidR="004C4CFE" w:rsidRPr="004C4CFE" w:rsidRDefault="004C4CFE" w:rsidP="004C4CFE">
      <w:pPr>
        <w:pStyle w:val="Ttulo3"/>
        <w:jc w:val="both"/>
        <w:rPr>
          <w:rFonts w:ascii="Times New Roman" w:eastAsia="Times New Roman" w:hAnsi="Times New Roman" w:cs="Times New Roman"/>
          <w:sz w:val="24"/>
          <w:szCs w:val="24"/>
          <w:lang w:eastAsia="es-SV"/>
        </w:rPr>
      </w:pPr>
      <w:r w:rsidRPr="004C4CFE">
        <w:rPr>
          <w:rFonts w:ascii="Times New Roman" w:eastAsia="Times New Roman" w:hAnsi="Times New Roman" w:cs="Times New Roman"/>
          <w:sz w:val="24"/>
          <w:szCs w:val="24"/>
          <w:lang w:eastAsia="es-SV"/>
        </w:rPr>
        <w:t>TIPOS DE SANCIONES</w:t>
      </w:r>
    </w:p>
    <w:p w:rsidR="004C4CFE" w:rsidRPr="004C4CFE" w:rsidRDefault="004C4CFE" w:rsidP="004C4C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SV"/>
        </w:rPr>
      </w:pPr>
      <w:r w:rsidRPr="004C4CFE">
        <w:rPr>
          <w:rFonts w:ascii="Times New Roman" w:eastAsia="Times New Roman" w:hAnsi="Times New Roman" w:cs="Times New Roman"/>
          <w:sz w:val="24"/>
          <w:szCs w:val="24"/>
          <w:lang w:eastAsia="es-SV"/>
        </w:rPr>
        <w:t>La imposición de las sanciones por parte del Consejo se hará de la siguiente forma:</w:t>
      </w:r>
    </w:p>
    <w:p w:rsidR="00DB1771" w:rsidRPr="004C4CFE" w:rsidRDefault="004C4CFE" w:rsidP="004C4CFE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Listavistosa-nfasis4"/>
        <w:tblW w:w="0" w:type="auto"/>
        <w:tblLook w:val="04A0" w:firstRow="1" w:lastRow="0" w:firstColumn="1" w:lastColumn="0" w:noHBand="0" w:noVBand="1"/>
      </w:tblPr>
      <w:tblGrid>
        <w:gridCol w:w="4489"/>
        <w:gridCol w:w="4489"/>
      </w:tblGrid>
      <w:tr w:rsidR="004C4CFE" w:rsidRPr="004C4CFE" w:rsidTr="009976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89" w:type="dxa"/>
          </w:tcPr>
          <w:p w:rsidR="004C4CFE" w:rsidRPr="004C4CFE" w:rsidRDefault="004C4CFE" w:rsidP="004C4C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</w:pPr>
            <w:r w:rsidRPr="004C4CFE"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  <w:t xml:space="preserve">Amonestación Verbal, cuando por negligencia o descuido en el ejercicio de la </w:t>
            </w:r>
          </w:p>
          <w:p w:rsidR="004C4CFE" w:rsidRPr="004C4CFE" w:rsidRDefault="004C4CFE" w:rsidP="004C4C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</w:pPr>
            <w:r w:rsidRPr="004C4CFE"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  <w:t>profesión, por primera vez y sin causar daños a terceros se cometiere una infracción;</w:t>
            </w:r>
          </w:p>
          <w:p w:rsidR="004C4CFE" w:rsidRPr="004C4CFE" w:rsidRDefault="004C4CFE" w:rsidP="004C4C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</w:pPr>
          </w:p>
        </w:tc>
        <w:tc>
          <w:tcPr>
            <w:tcW w:w="4489" w:type="dxa"/>
          </w:tcPr>
          <w:p w:rsidR="004C4CFE" w:rsidRPr="004C4CFE" w:rsidRDefault="004C4CFE" w:rsidP="004C4CFE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</w:pPr>
            <w:r w:rsidRPr="004C4CFE"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  <w:t xml:space="preserve">Multa de uno a quince salarios mínimos </w:t>
            </w:r>
          </w:p>
          <w:p w:rsidR="004C4CFE" w:rsidRPr="004C4CFE" w:rsidRDefault="004C4CFE" w:rsidP="004C4CFE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</w:pPr>
            <w:r w:rsidRPr="004C4CFE"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  <w:t xml:space="preserve">urbanos superior vigente, en los casos de </w:t>
            </w:r>
          </w:p>
          <w:p w:rsidR="004C4CFE" w:rsidRPr="004C4CFE" w:rsidRDefault="004C4CFE" w:rsidP="004C4CFE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</w:pPr>
            <w:r w:rsidRPr="004C4CFE"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  <w:t xml:space="preserve">reiteración de las infracciones referidas en el literal anterior; por negligencia o descuido </w:t>
            </w:r>
          </w:p>
          <w:p w:rsidR="004C4CFE" w:rsidRPr="004C4CFE" w:rsidRDefault="004C4CFE" w:rsidP="004C4CFE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</w:pPr>
            <w:proofErr w:type="gramStart"/>
            <w:r w:rsidRPr="004C4CFE"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  <w:t>inexcusable</w:t>
            </w:r>
            <w:proofErr w:type="gramEnd"/>
            <w:r w:rsidRPr="004C4CFE"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  <w:t xml:space="preserve"> en el ejercicio de la profesión causando daños a terceros; por faltas éticas en el ejercicio de la profesión sin que ocasionen daños a terceros.</w:t>
            </w:r>
          </w:p>
        </w:tc>
      </w:tr>
      <w:tr w:rsidR="004C4CFE" w:rsidRPr="004C4CFE" w:rsidTr="009976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89" w:type="dxa"/>
          </w:tcPr>
          <w:p w:rsidR="004C4CFE" w:rsidRPr="004C4CFE" w:rsidRDefault="004C4CFE" w:rsidP="004C4C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</w:pPr>
            <w:r w:rsidRPr="004C4CFE"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  <w:t xml:space="preserve">Amonestación Escrita, por reiteración de las infracciones a que se refiere el literal </w:t>
            </w:r>
          </w:p>
          <w:p w:rsidR="004C4CFE" w:rsidRPr="004C4CFE" w:rsidRDefault="004C4CFE" w:rsidP="004C4C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</w:pPr>
            <w:r w:rsidRPr="004C4CFE"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  <w:t>anterior;</w:t>
            </w:r>
          </w:p>
        </w:tc>
        <w:tc>
          <w:tcPr>
            <w:tcW w:w="4489" w:type="dxa"/>
          </w:tcPr>
          <w:p w:rsidR="004C4CFE" w:rsidRPr="004C4CFE" w:rsidRDefault="004C4CFE" w:rsidP="004C4CF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</w:pPr>
            <w:r w:rsidRPr="004C4CFE"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  <w:t xml:space="preserve">Suspensión temporal hasta por cinco años en el ejercicio de la contaduría pública, </w:t>
            </w:r>
          </w:p>
          <w:p w:rsidR="004C4CFE" w:rsidRPr="004C4CFE" w:rsidRDefault="004C4CFE" w:rsidP="004C4CF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</w:pPr>
            <w:r w:rsidRPr="004C4CFE"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  <w:t xml:space="preserve">por la reiteración continuada de las infracciones anteriores; por faltas de éticas en el </w:t>
            </w:r>
          </w:p>
          <w:p w:rsidR="004C4CFE" w:rsidRPr="004C4CFE" w:rsidRDefault="004C4CFE" w:rsidP="004C4CF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</w:pPr>
            <w:r w:rsidRPr="004C4CFE"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  <w:t xml:space="preserve">ejercicio de la profesión causando daños a terceros; por habérsele suspendido o haber </w:t>
            </w:r>
          </w:p>
          <w:p w:rsidR="004C4CFE" w:rsidRPr="004C4CFE" w:rsidRDefault="004C4CFE" w:rsidP="004C4CF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</w:pPr>
            <w:r w:rsidRPr="004C4CFE"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  <w:t>perdido los derechos de ciudadano</w:t>
            </w:r>
          </w:p>
          <w:p w:rsidR="004C4CFE" w:rsidRPr="004C4CFE" w:rsidRDefault="004C4CFE" w:rsidP="004C4CF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</w:pPr>
          </w:p>
        </w:tc>
      </w:tr>
    </w:tbl>
    <w:p w:rsidR="004C4CFE" w:rsidRPr="004C4CFE" w:rsidRDefault="004C4CFE" w:rsidP="004C4CFE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C4CFE" w:rsidRPr="004C4CFE" w:rsidSect="004C4CF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1573B3"/>
    <w:multiLevelType w:val="hybridMultilevel"/>
    <w:tmpl w:val="B21A0138"/>
    <w:lvl w:ilvl="0" w:tplc="4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AB6246"/>
    <w:multiLevelType w:val="hybridMultilevel"/>
    <w:tmpl w:val="CB4CAE2A"/>
    <w:lvl w:ilvl="0" w:tplc="4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E265BB"/>
    <w:multiLevelType w:val="hybridMultilevel"/>
    <w:tmpl w:val="F9E46BB6"/>
    <w:lvl w:ilvl="0" w:tplc="4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CFE"/>
    <w:rsid w:val="004B24FD"/>
    <w:rsid w:val="004C4CFE"/>
    <w:rsid w:val="005F6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D764A8-FC42-42AE-9ADC-ECE497959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4CFE"/>
    <w:pPr>
      <w:spacing w:after="200" w:line="276" w:lineRule="auto"/>
    </w:pPr>
  </w:style>
  <w:style w:type="paragraph" w:styleId="Ttulo1">
    <w:name w:val="heading 1"/>
    <w:basedOn w:val="Normal"/>
    <w:next w:val="Normal"/>
    <w:link w:val="Ttulo1Car"/>
    <w:uiPriority w:val="9"/>
    <w:qFormat/>
    <w:rsid w:val="004C4CF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4C4CF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C4CF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rsid w:val="004C4CFE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Prrafodelista">
    <w:name w:val="List Paragraph"/>
    <w:basedOn w:val="Normal"/>
    <w:uiPriority w:val="34"/>
    <w:qFormat/>
    <w:rsid w:val="004C4CFE"/>
    <w:pPr>
      <w:ind w:left="720"/>
      <w:contextualSpacing/>
    </w:pPr>
  </w:style>
  <w:style w:type="table" w:styleId="Listavistosa-nfasis4">
    <w:name w:val="Colorful List Accent 4"/>
    <w:basedOn w:val="Tablanormal"/>
    <w:uiPriority w:val="72"/>
    <w:rsid w:val="004C4CF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542</Words>
  <Characters>2985</Characters>
  <Application>Microsoft Office Word</Application>
  <DocSecurity>0</DocSecurity>
  <Lines>24</Lines>
  <Paragraphs>7</Paragraphs>
  <ScaleCrop>false</ScaleCrop>
  <Company/>
  <LinksUpToDate>false</LinksUpToDate>
  <CharactersWithSpaces>3520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Maquina5</dc:creator>
  <cp:keywords/>
  <dc:description/>
  <cp:lastModifiedBy>Maquina5</cp:lastModifiedBy>
  <cp:revision>1</cp:revision>
  <dcterms:created xsi:type="dcterms:W3CDTF">2015-11-20T04:11:00Z</dcterms:created>
  <dcterms:modified xsi:type="dcterms:W3CDTF">2015-11-20T04:13:00Z</dcterms:modified>
</cp:coreProperties>
</file>