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B73" w:rsidRPr="00CB3B73" w:rsidRDefault="00AD158A" w:rsidP="00AD158A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Courier New,Bold"/>
          <w:b/>
          <w:bCs/>
          <w:sz w:val="24"/>
          <w:szCs w:val="24"/>
        </w:rPr>
      </w:pPr>
      <w:r>
        <w:rPr>
          <w:rFonts w:ascii="Arial Narrow" w:hAnsi="Arial Narrow" w:cs="Courier New,Bold"/>
          <w:b/>
          <w:bCs/>
          <w:sz w:val="24"/>
          <w:szCs w:val="24"/>
        </w:rPr>
        <w:t>Resumen del Código Tributario:</w:t>
      </w: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El objetivo del Código Tribut</w:t>
      </w:r>
      <w:r>
        <w:rPr>
          <w:rFonts w:ascii="Arial Narrow" w:hAnsi="Arial Narrow" w:cs="Courier New"/>
          <w:sz w:val="24"/>
          <w:szCs w:val="24"/>
        </w:rPr>
        <w:t xml:space="preserve">ario es unificar, simplificar y </w:t>
      </w:r>
      <w:r w:rsidRPr="00CB3B73">
        <w:rPr>
          <w:rFonts w:ascii="Arial Narrow" w:hAnsi="Arial Narrow" w:cs="Courier New"/>
          <w:sz w:val="24"/>
          <w:szCs w:val="24"/>
        </w:rPr>
        <w:t>racionalizar las leyes que regulan los diferentes tributos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 xml:space="preserve">internos, con el fin de </w:t>
      </w:r>
      <w:r>
        <w:rPr>
          <w:rFonts w:ascii="Arial Narrow" w:hAnsi="Arial Narrow" w:cs="Courier New"/>
          <w:sz w:val="24"/>
          <w:szCs w:val="24"/>
        </w:rPr>
        <w:t xml:space="preserve">facilitarle al contribuyente el </w:t>
      </w:r>
      <w:r w:rsidRPr="00CB3B73">
        <w:rPr>
          <w:rFonts w:ascii="Arial Narrow" w:hAnsi="Arial Narrow" w:cs="Courier New"/>
          <w:sz w:val="24"/>
          <w:szCs w:val="24"/>
        </w:rPr>
        <w:t>cumplimiento de las obligaciones tributarias.</w:t>
      </w: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El Código Tributario de El Salva</w:t>
      </w:r>
      <w:r>
        <w:rPr>
          <w:rFonts w:ascii="Arial Narrow" w:hAnsi="Arial Narrow" w:cs="Courier New"/>
          <w:sz w:val="24"/>
          <w:szCs w:val="24"/>
        </w:rPr>
        <w:t xml:space="preserve">dor es un marco legal unificado </w:t>
      </w:r>
      <w:r w:rsidRPr="00CB3B73">
        <w:rPr>
          <w:rFonts w:ascii="Arial Narrow" w:hAnsi="Arial Narrow" w:cs="Courier New"/>
          <w:sz w:val="24"/>
          <w:szCs w:val="24"/>
        </w:rPr>
        <w:t>que facilita el cumplimiento de las obligaciones tributarias,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estableciendo los derechos de lo</w:t>
      </w:r>
      <w:r>
        <w:rPr>
          <w:rFonts w:ascii="Arial Narrow" w:hAnsi="Arial Narrow" w:cs="Courier New"/>
          <w:sz w:val="24"/>
          <w:szCs w:val="24"/>
        </w:rPr>
        <w:t xml:space="preserve">s contribuyentes, posibilita el </w:t>
      </w:r>
      <w:r w:rsidRPr="00CB3B73">
        <w:rPr>
          <w:rFonts w:ascii="Arial Narrow" w:hAnsi="Arial Narrow" w:cs="Courier New"/>
          <w:sz w:val="24"/>
          <w:szCs w:val="24"/>
        </w:rPr>
        <w:t>control por parte de La Administración y garantiza un adecuado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flujo de recursos financieros que permiten atender las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responsabilidades que competen al Estado.</w:t>
      </w: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>
        <w:rPr>
          <w:rFonts w:ascii="Arial Narrow" w:hAnsi="Arial Narrow" w:cs="Courier New"/>
          <w:sz w:val="24"/>
          <w:szCs w:val="24"/>
        </w:rPr>
        <w:t>T</w:t>
      </w:r>
      <w:r w:rsidR="00CB3B73" w:rsidRPr="00CB3B73">
        <w:rPr>
          <w:rFonts w:ascii="Arial Narrow" w:hAnsi="Arial Narrow" w:cs="Courier New"/>
          <w:sz w:val="24"/>
          <w:szCs w:val="24"/>
        </w:rPr>
        <w:t>odo sujeto pasivo que se dedique a la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 xml:space="preserve">transferencia de bien </w:t>
      </w:r>
      <w:r>
        <w:rPr>
          <w:rFonts w:ascii="Arial Narrow" w:hAnsi="Arial Narrow" w:cs="Courier New"/>
          <w:sz w:val="24"/>
          <w:szCs w:val="24"/>
        </w:rPr>
        <w:t xml:space="preserve">muebles corporales manufactura, </w:t>
      </w:r>
      <w:r w:rsidR="00CB3B73" w:rsidRPr="00CB3B73">
        <w:rPr>
          <w:rFonts w:ascii="Arial Narrow" w:hAnsi="Arial Narrow" w:cs="Courier New"/>
          <w:sz w:val="24"/>
          <w:szCs w:val="24"/>
        </w:rPr>
        <w:t>elaboración, transformación, ganadería,</w:t>
      </w:r>
      <w:r>
        <w:rPr>
          <w:rFonts w:ascii="Arial Narrow" w:hAnsi="Arial Narrow" w:cs="Courier New"/>
          <w:sz w:val="24"/>
          <w:szCs w:val="24"/>
        </w:rPr>
        <w:t xml:space="preserve"> producción, extracción, </w:t>
      </w:r>
      <w:r w:rsidR="00CB3B73" w:rsidRPr="00CB3B73">
        <w:rPr>
          <w:rFonts w:ascii="Arial Narrow" w:hAnsi="Arial Narrow" w:cs="Courier New"/>
          <w:sz w:val="24"/>
          <w:szCs w:val="24"/>
        </w:rPr>
        <w:t>adquisición, enajenación de materias primas, mercaderías,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>productos o frutos naturales, ac</w:t>
      </w:r>
      <w:r>
        <w:rPr>
          <w:rFonts w:ascii="Arial Narrow" w:hAnsi="Arial Narrow" w:cs="Courier New"/>
          <w:sz w:val="24"/>
          <w:szCs w:val="24"/>
        </w:rPr>
        <w:t xml:space="preserve">cesorios, repuestos o cualquier </w:t>
      </w:r>
      <w:r w:rsidR="00CB3B73" w:rsidRPr="00CB3B73">
        <w:rPr>
          <w:rFonts w:ascii="Arial Narrow" w:hAnsi="Arial Narrow" w:cs="Courier New"/>
          <w:sz w:val="24"/>
          <w:szCs w:val="24"/>
        </w:rPr>
        <w:t>otro bien, nacionales o extranjeros, de igual forma las que se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>dediquen a la producción de obras materiales, muebles o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>inmuebles bajo cualquier moda</w:t>
      </w:r>
      <w:r>
        <w:rPr>
          <w:rFonts w:ascii="Arial Narrow" w:hAnsi="Arial Narrow" w:cs="Courier New"/>
          <w:sz w:val="24"/>
          <w:szCs w:val="24"/>
        </w:rPr>
        <w:t xml:space="preserve">lidad, así como los que presten </w:t>
      </w:r>
      <w:r w:rsidR="00CB3B73" w:rsidRPr="00CB3B73">
        <w:rPr>
          <w:rFonts w:ascii="Arial Narrow" w:hAnsi="Arial Narrow" w:cs="Courier New"/>
          <w:sz w:val="24"/>
          <w:szCs w:val="24"/>
        </w:rPr>
        <w:t>servicios cuya actividad se materialice en la entrega de bienes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>muebles o inmuebles, se verán en la obligación de llevar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="00CB3B73" w:rsidRPr="00CB3B73">
        <w:rPr>
          <w:rFonts w:ascii="Arial Narrow" w:hAnsi="Arial Narrow" w:cs="Courier New"/>
          <w:sz w:val="24"/>
          <w:szCs w:val="24"/>
        </w:rPr>
        <w:t xml:space="preserve">inventario físico al iniciar </w:t>
      </w:r>
      <w:r>
        <w:rPr>
          <w:rFonts w:ascii="Arial Narrow" w:hAnsi="Arial Narrow" w:cs="Courier New"/>
          <w:sz w:val="24"/>
          <w:szCs w:val="24"/>
        </w:rPr>
        <w:t xml:space="preserve">actividades y al finalizar cada </w:t>
      </w:r>
      <w:r w:rsidR="00CB3B73" w:rsidRPr="00CB3B73">
        <w:rPr>
          <w:rFonts w:ascii="Arial Narrow" w:hAnsi="Arial Narrow" w:cs="Courier New"/>
          <w:sz w:val="24"/>
          <w:szCs w:val="24"/>
        </w:rPr>
        <w:t>ejercicio impositivo.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 xml:space="preserve">El contribuyentes </w:t>
      </w:r>
      <w:proofErr w:type="spellStart"/>
      <w:r w:rsidRPr="00CB3B73">
        <w:rPr>
          <w:rFonts w:ascii="Arial Narrow" w:hAnsi="Arial Narrow" w:cs="Courier New"/>
          <w:sz w:val="24"/>
          <w:szCs w:val="24"/>
        </w:rPr>
        <w:t>esta</w:t>
      </w:r>
      <w:proofErr w:type="spellEnd"/>
      <w:r w:rsidRPr="00CB3B73">
        <w:rPr>
          <w:rFonts w:ascii="Arial Narrow" w:hAnsi="Arial Narrow" w:cs="Courier New"/>
          <w:sz w:val="24"/>
          <w:szCs w:val="24"/>
        </w:rPr>
        <w:t xml:space="preserve"> obligado a</w:t>
      </w:r>
      <w:r w:rsidR="00AD158A">
        <w:rPr>
          <w:rFonts w:ascii="Arial Narrow" w:hAnsi="Arial Narrow" w:cs="Courier New"/>
          <w:sz w:val="24"/>
          <w:szCs w:val="24"/>
        </w:rPr>
        <w:t xml:space="preserve"> presentar el inventario con su </w:t>
      </w:r>
      <w:r w:rsidRPr="00CB3B73">
        <w:rPr>
          <w:rFonts w:ascii="Arial Narrow" w:hAnsi="Arial Narrow" w:cs="Courier New"/>
          <w:sz w:val="24"/>
          <w:szCs w:val="24"/>
        </w:rPr>
        <w:t>valuación respectiva en los primeros dos meses del año siempre y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cuando este posea ingresos mayores a $ 571,743.04; llevando e</w:t>
      </w:r>
      <w:r w:rsidR="00AD158A">
        <w:rPr>
          <w:rFonts w:ascii="Arial Narrow" w:hAnsi="Arial Narrow" w:cs="Courier New"/>
          <w:sz w:val="24"/>
          <w:szCs w:val="24"/>
        </w:rPr>
        <w:t xml:space="preserve">l </w:t>
      </w:r>
      <w:r w:rsidRPr="00CB3B73">
        <w:rPr>
          <w:rFonts w:ascii="Arial Narrow" w:hAnsi="Arial Narrow" w:cs="Courier New"/>
          <w:sz w:val="24"/>
          <w:szCs w:val="24"/>
        </w:rPr>
        <w:t>registro de forma permanente, ind</w:t>
      </w:r>
      <w:r w:rsidR="00AD158A">
        <w:rPr>
          <w:rFonts w:ascii="Arial Narrow" w:hAnsi="Arial Narrow" w:cs="Courier New"/>
          <w:sz w:val="24"/>
          <w:szCs w:val="24"/>
        </w:rPr>
        <w:t xml:space="preserve">ependiente de los registros que </w:t>
      </w:r>
      <w:r w:rsidRPr="00CB3B73">
        <w:rPr>
          <w:rFonts w:ascii="Arial Narrow" w:hAnsi="Arial Narrow" w:cs="Courier New"/>
          <w:sz w:val="24"/>
          <w:szCs w:val="24"/>
        </w:rPr>
        <w:t>se efectúen en la empresa (Art. 142 Código Tributario y Art. 81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del Reglamento de aplicación)</w:t>
      </w: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Dicho registro deberá de con</w:t>
      </w:r>
      <w:r w:rsidR="00AD158A">
        <w:rPr>
          <w:rFonts w:ascii="Arial Narrow" w:hAnsi="Arial Narrow" w:cs="Courier New"/>
          <w:sz w:val="24"/>
          <w:szCs w:val="24"/>
        </w:rPr>
        <w:t xml:space="preserve">tener la información siguiente: </w:t>
      </w:r>
      <w:r w:rsidRPr="00CB3B73">
        <w:rPr>
          <w:rFonts w:ascii="Arial Narrow" w:hAnsi="Arial Narrow" w:cs="Courier New"/>
          <w:sz w:val="24"/>
          <w:szCs w:val="24"/>
        </w:rPr>
        <w:t>Encabezado; nombre del contribuyente, período que comprende, NIT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y NRC; correlativo de la op</w:t>
      </w:r>
      <w:r w:rsidR="00AD158A">
        <w:rPr>
          <w:rFonts w:ascii="Arial Narrow" w:hAnsi="Arial Narrow" w:cs="Courier New"/>
          <w:sz w:val="24"/>
          <w:szCs w:val="24"/>
        </w:rPr>
        <w:t xml:space="preserve">eración; fecha de la operación; </w:t>
      </w:r>
      <w:r w:rsidRPr="00CB3B73">
        <w:rPr>
          <w:rFonts w:ascii="Arial Narrow" w:hAnsi="Arial Narrow" w:cs="Courier New"/>
          <w:sz w:val="24"/>
          <w:szCs w:val="24"/>
        </w:rPr>
        <w:t>número de Comprobante de Crédito Fiscal, Nota de Crédito, Nota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 Débito, Factura de Consumidor Final, documento de sujeto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excluido, Declaración de Mercancía o Formular</w:t>
      </w:r>
      <w:r w:rsidR="00AD158A">
        <w:rPr>
          <w:rFonts w:ascii="Arial Narrow" w:hAnsi="Arial Narrow" w:cs="Courier New"/>
          <w:sz w:val="24"/>
          <w:szCs w:val="24"/>
        </w:rPr>
        <w:t xml:space="preserve">io Aduanero </w:t>
      </w:r>
      <w:r w:rsidRPr="00CB3B73">
        <w:rPr>
          <w:rFonts w:ascii="Arial Narrow" w:hAnsi="Arial Narrow" w:cs="Courier New"/>
          <w:sz w:val="24"/>
          <w:szCs w:val="24"/>
        </w:rPr>
        <w:t>correspondiente, según el caso; nombre, razón social 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denominación del proveed</w:t>
      </w:r>
      <w:r w:rsidR="00AD158A">
        <w:rPr>
          <w:rFonts w:ascii="Arial Narrow" w:hAnsi="Arial Narrow" w:cs="Courier New"/>
          <w:sz w:val="24"/>
          <w:szCs w:val="24"/>
        </w:rPr>
        <w:t xml:space="preserve">or; nacionalidad del proveedor, </w:t>
      </w:r>
      <w:r w:rsidRPr="00CB3B73">
        <w:rPr>
          <w:rFonts w:ascii="Arial Narrow" w:hAnsi="Arial Narrow" w:cs="Courier New"/>
          <w:sz w:val="24"/>
          <w:szCs w:val="24"/>
        </w:rPr>
        <w:t>descripción del producto comprado, especificando las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características que permitan individualizarlo e identificarlos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 xml:space="preserve">plenamente; fuente o referencia </w:t>
      </w:r>
      <w:r w:rsidR="00AD158A">
        <w:rPr>
          <w:rFonts w:ascii="Arial Narrow" w:hAnsi="Arial Narrow" w:cs="Courier New"/>
          <w:sz w:val="24"/>
          <w:szCs w:val="24"/>
        </w:rPr>
        <w:t xml:space="preserve">del libro de costos de retaceos </w:t>
      </w:r>
      <w:r w:rsidRPr="00CB3B73">
        <w:rPr>
          <w:rFonts w:ascii="Arial Narrow" w:hAnsi="Arial Narrow" w:cs="Courier New"/>
          <w:sz w:val="24"/>
          <w:szCs w:val="24"/>
        </w:rPr>
        <w:t>o de compras locales de donde ha sido tomado el costo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correspondiente; número de unidades que ingresan, número de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lastRenderedPageBreak/>
        <w:t>unidades que salen; saldo e</w:t>
      </w:r>
      <w:r w:rsidR="00AD158A">
        <w:rPr>
          <w:rFonts w:ascii="Arial Narrow" w:hAnsi="Arial Narrow" w:cs="Courier New"/>
          <w:sz w:val="24"/>
          <w:szCs w:val="24"/>
        </w:rPr>
        <w:t xml:space="preserve">n unidades; importe monetario o </w:t>
      </w:r>
      <w:r w:rsidRPr="00CB3B73">
        <w:rPr>
          <w:rFonts w:ascii="Arial Narrow" w:hAnsi="Arial Narrow" w:cs="Courier New"/>
          <w:sz w:val="24"/>
          <w:szCs w:val="24"/>
        </w:rPr>
        <w:t>precio de costo de las unidades que ingresan; importe monetario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o precio de costo o venta, se</w:t>
      </w:r>
      <w:r w:rsidR="00AD158A">
        <w:rPr>
          <w:rFonts w:ascii="Arial Narrow" w:hAnsi="Arial Narrow" w:cs="Courier New"/>
          <w:sz w:val="24"/>
          <w:szCs w:val="24"/>
        </w:rPr>
        <w:t xml:space="preserve">gún el caso de las unidades que </w:t>
      </w:r>
      <w:r w:rsidRPr="00CB3B73">
        <w:rPr>
          <w:rFonts w:ascii="Arial Narrow" w:hAnsi="Arial Narrow" w:cs="Courier New"/>
          <w:sz w:val="24"/>
          <w:szCs w:val="24"/>
        </w:rPr>
        <w:t>salen; saldo monetario del importe de las unidades existentes, 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precio de costo. Cualquier ajuste que se efectué al inventario,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tales como descuentos, re</w:t>
      </w:r>
      <w:r w:rsidR="00AD158A">
        <w:rPr>
          <w:rFonts w:ascii="Arial Narrow" w:hAnsi="Arial Narrow" w:cs="Courier New"/>
          <w:sz w:val="24"/>
          <w:szCs w:val="24"/>
        </w:rPr>
        <w:t xml:space="preserve">bajas e incrementos de precios </w:t>
      </w:r>
      <w:r w:rsidRPr="00CB3B73">
        <w:rPr>
          <w:rFonts w:ascii="Arial Narrow" w:hAnsi="Arial Narrow" w:cs="Courier New"/>
          <w:sz w:val="24"/>
          <w:szCs w:val="24"/>
        </w:rPr>
        <w:t>bonificaciones se deberá de registrar; llevando el control por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cada casa matriz o de forma consolidada siempre que se garantice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la transparencia fiscal (Ar</w:t>
      </w:r>
      <w:r w:rsidR="00AD158A">
        <w:rPr>
          <w:rFonts w:ascii="Arial Narrow" w:hAnsi="Arial Narrow" w:cs="Courier New"/>
          <w:sz w:val="24"/>
          <w:szCs w:val="24"/>
        </w:rPr>
        <w:t xml:space="preserve">t. 142-A del Código Tributario). </w:t>
      </w:r>
      <w:r w:rsidRPr="00CB3B73">
        <w:rPr>
          <w:rFonts w:ascii="Arial Narrow" w:hAnsi="Arial Narrow" w:cs="Courier New"/>
          <w:sz w:val="24"/>
          <w:szCs w:val="24"/>
        </w:rPr>
        <w:t>Entendiendo por Costo de Adquisición al valor que posea el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 xml:space="preserve">artículo aumentándole todos los </w:t>
      </w:r>
      <w:r w:rsidR="00AD158A">
        <w:rPr>
          <w:rFonts w:ascii="Arial Narrow" w:hAnsi="Arial Narrow" w:cs="Courier New"/>
          <w:sz w:val="24"/>
          <w:szCs w:val="24"/>
        </w:rPr>
        <w:t xml:space="preserve">gastos que sean generados hasta </w:t>
      </w:r>
      <w:r w:rsidRPr="00CB3B73">
        <w:rPr>
          <w:rFonts w:ascii="Arial Narrow" w:hAnsi="Arial Narrow" w:cs="Courier New"/>
          <w:sz w:val="24"/>
          <w:szCs w:val="24"/>
        </w:rPr>
        <w:t>estar a disposición del cliente, entre estos costos se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mencionan: fletes, seguros, derechos de importación y todos los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desembolsos que sean agregados al costo de la mercad</w:t>
      </w:r>
      <w:r w:rsidR="00AD158A">
        <w:rPr>
          <w:rFonts w:ascii="Arial Narrow" w:hAnsi="Arial Narrow" w:cs="Courier New"/>
          <w:sz w:val="24"/>
          <w:szCs w:val="24"/>
        </w:rPr>
        <w:t xml:space="preserve">ería (Art. </w:t>
      </w:r>
      <w:r w:rsidRPr="00CB3B73">
        <w:rPr>
          <w:rFonts w:ascii="Arial Narrow" w:hAnsi="Arial Narrow" w:cs="Courier New"/>
          <w:sz w:val="24"/>
          <w:szCs w:val="24"/>
        </w:rPr>
        <w:t>143 Código Tributario).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,Bold"/>
          <w:b/>
          <w:bCs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La Adminis</w:t>
      </w:r>
      <w:r w:rsidR="00AD158A">
        <w:rPr>
          <w:rFonts w:ascii="Arial Narrow" w:hAnsi="Arial Narrow" w:cs="Courier New"/>
          <w:sz w:val="24"/>
          <w:szCs w:val="24"/>
        </w:rPr>
        <w:t xml:space="preserve">tración Tributaria podrá exigir </w:t>
      </w:r>
      <w:r w:rsidRPr="00CB3B73">
        <w:rPr>
          <w:rFonts w:ascii="Arial Narrow" w:hAnsi="Arial Narrow" w:cs="Courier New"/>
          <w:sz w:val="24"/>
          <w:szCs w:val="24"/>
        </w:rPr>
        <w:t>el pago de las obligaciones, multas y pago de intereses (Art. 82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CT), hasta diez años después a la fecha de realizar el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incumplimiento (Art. 84 CT), siguiendo las reglas siguientes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(Art. 21 RACT):</w:t>
      </w:r>
    </w:p>
    <w:p w:rsidR="00AD158A" w:rsidRDefault="00CB3B73" w:rsidP="00CB3B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Courier New"/>
          <w:sz w:val="24"/>
          <w:szCs w:val="24"/>
        </w:rPr>
        <w:t>Cuando se trate de i</w:t>
      </w:r>
      <w:r w:rsidR="00AD158A" w:rsidRPr="00AD158A">
        <w:rPr>
          <w:rFonts w:ascii="Arial Narrow" w:hAnsi="Arial Narrow" w:cs="Courier New"/>
          <w:sz w:val="24"/>
          <w:szCs w:val="24"/>
        </w:rPr>
        <w:t xml:space="preserve">mpuestos auto liquidados por el </w:t>
      </w:r>
      <w:r w:rsidRPr="00AD158A">
        <w:rPr>
          <w:rFonts w:ascii="Arial Narrow" w:hAnsi="Arial Narrow" w:cs="Courier New"/>
          <w:sz w:val="24"/>
          <w:szCs w:val="24"/>
        </w:rPr>
        <w:t>contribuyente, a partir del día siguiente que concluyó el</w:t>
      </w:r>
      <w:r w:rsidR="00AD158A" w:rsidRP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 xml:space="preserve">término legal para </w:t>
      </w:r>
      <w:r w:rsidR="00AD158A" w:rsidRPr="00AD158A">
        <w:rPr>
          <w:rFonts w:ascii="Arial Narrow" w:hAnsi="Arial Narrow" w:cs="Courier New"/>
          <w:sz w:val="24"/>
          <w:szCs w:val="24"/>
        </w:rPr>
        <w:t xml:space="preserve">pagar o el de su prórroga si la </w:t>
      </w:r>
      <w:r w:rsidRPr="00AD158A">
        <w:rPr>
          <w:rFonts w:ascii="Arial Narrow" w:hAnsi="Arial Narrow" w:cs="Courier New"/>
          <w:sz w:val="24"/>
          <w:szCs w:val="24"/>
        </w:rPr>
        <w:t>hubiera (Art. 21 numeral 1 RACT).</w:t>
      </w:r>
    </w:p>
    <w:p w:rsidR="00CB3B73" w:rsidRPr="00AD158A" w:rsidRDefault="00CB3B73" w:rsidP="00CB3B73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Courier New"/>
          <w:sz w:val="24"/>
          <w:szCs w:val="24"/>
        </w:rPr>
        <w:t>Al tratarse de liquidación de oficio o de imposición de</w:t>
      </w:r>
      <w:r w:rsidR="00AD158A" w:rsidRP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multas efectuadas por La Administración Tributaria, a</w:t>
      </w:r>
      <w:r w:rsidR="00AD158A" w:rsidRP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partir del día siguiente al vencimiento del plazo para el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pago (Art. 21 numeral 1 RACT).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Se interrumpirá este proceso al recibir notificación de</w:t>
      </w:r>
      <w:r w:rsidR="00AD158A">
        <w:rPr>
          <w:rFonts w:ascii="Arial Narrow" w:hAnsi="Arial Narrow" w:cs="Courier New"/>
          <w:sz w:val="24"/>
          <w:szCs w:val="24"/>
        </w:rPr>
        <w:t xml:space="preserve"> requerimiento de </w:t>
      </w:r>
      <w:r w:rsidRPr="00AD158A">
        <w:rPr>
          <w:rFonts w:ascii="Arial Narrow" w:hAnsi="Arial Narrow" w:cs="Courier New"/>
          <w:sz w:val="24"/>
          <w:szCs w:val="24"/>
        </w:rPr>
        <w:t>cobro administrativo, por parte de La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Administración Tributaria (Art. 82 CT).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Para alegar prescripción del</w:t>
      </w:r>
      <w:r w:rsidR="00AD158A">
        <w:rPr>
          <w:rFonts w:ascii="Arial Narrow" w:hAnsi="Arial Narrow" w:cs="Courier New"/>
          <w:sz w:val="24"/>
          <w:szCs w:val="24"/>
        </w:rPr>
        <w:t xml:space="preserve"> pago de impuestos se deberá de </w:t>
      </w:r>
      <w:r w:rsidRPr="00CB3B73">
        <w:rPr>
          <w:rFonts w:ascii="Arial Narrow" w:hAnsi="Arial Narrow" w:cs="Courier New"/>
          <w:sz w:val="24"/>
          <w:szCs w:val="24"/>
        </w:rPr>
        <w:t>presentar solicitud, acompañada de certificaciones de los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juzgados de Menor Cuantía</w:t>
      </w:r>
      <w:r w:rsidR="00AD158A">
        <w:rPr>
          <w:rFonts w:ascii="Arial Narrow" w:hAnsi="Arial Narrow" w:cs="Courier New"/>
          <w:sz w:val="24"/>
          <w:szCs w:val="24"/>
        </w:rPr>
        <w:t xml:space="preserve"> y de La Fiscalía General de La </w:t>
      </w:r>
      <w:r w:rsidRPr="00CB3B73">
        <w:rPr>
          <w:rFonts w:ascii="Arial Narrow" w:hAnsi="Arial Narrow" w:cs="Courier New"/>
          <w:sz w:val="24"/>
          <w:szCs w:val="24"/>
        </w:rPr>
        <w:t>República, en la que conste que el sujeto pasivo no ha sido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demandado ni se ha iniciado trámite en su contra para el reclamo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de dudas tributarias (Art</w:t>
      </w:r>
      <w:r w:rsidR="00AD158A">
        <w:rPr>
          <w:rFonts w:ascii="Arial Narrow" w:hAnsi="Arial Narrow" w:cs="Courier New"/>
          <w:sz w:val="24"/>
          <w:szCs w:val="24"/>
        </w:rPr>
        <w:t xml:space="preserve">. 83 CT y Art. 22 del RACT); la </w:t>
      </w:r>
      <w:r w:rsidRPr="00CB3B73">
        <w:rPr>
          <w:rFonts w:ascii="Arial Narrow" w:hAnsi="Arial Narrow" w:cs="Courier New"/>
          <w:sz w:val="24"/>
          <w:szCs w:val="24"/>
        </w:rPr>
        <w:t>prescripción no será aplicable para el pago de retenciones de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cualquier índole, exigiéndose en cualquier momento (Art. 82 CT y</w:t>
      </w:r>
    </w:p>
    <w:p w:rsid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Art. 23 RACT).</w:t>
      </w:r>
    </w:p>
    <w:p w:rsidR="00AD158A" w:rsidRPr="00CB3B73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CB3B73" w:rsidRPr="00CB3B73" w:rsidRDefault="00CB3B73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 xml:space="preserve">El </w:t>
      </w:r>
      <w:r w:rsidR="00AD158A" w:rsidRPr="00CB3B73">
        <w:rPr>
          <w:rFonts w:ascii="Arial Narrow" w:hAnsi="Arial Narrow" w:cs="Courier New"/>
          <w:sz w:val="24"/>
          <w:szCs w:val="24"/>
        </w:rPr>
        <w:t>cálculo</w:t>
      </w:r>
      <w:r w:rsidRPr="00CB3B73">
        <w:rPr>
          <w:rFonts w:ascii="Arial Narrow" w:hAnsi="Arial Narrow" w:cs="Courier New"/>
          <w:sz w:val="24"/>
          <w:szCs w:val="24"/>
        </w:rPr>
        <w:t xml:space="preserve"> del plazo de prescripción iniciará a partir del día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siguiente a la fecha establecida por La Administración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Tributaria para su presentación o el de prórroga otorgada para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 xml:space="preserve">pagar, cuando se trate </w:t>
      </w:r>
      <w:r w:rsidRPr="00CB3B73">
        <w:rPr>
          <w:rFonts w:ascii="Arial Narrow" w:hAnsi="Arial Narrow" w:cs="Courier New"/>
          <w:sz w:val="24"/>
          <w:szCs w:val="24"/>
        </w:rPr>
        <w:lastRenderedPageBreak/>
        <w:t>de impuesto auto liquidado por el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contribuyente y a partir del d</w:t>
      </w:r>
      <w:r w:rsidR="00AD158A">
        <w:rPr>
          <w:rFonts w:ascii="Arial Narrow" w:hAnsi="Arial Narrow" w:cs="Courier New"/>
          <w:sz w:val="24"/>
          <w:szCs w:val="24"/>
        </w:rPr>
        <w:t xml:space="preserve">ía siguiente al vencimiento del </w:t>
      </w:r>
      <w:r w:rsidRPr="00CB3B73">
        <w:rPr>
          <w:rFonts w:ascii="Arial Narrow" w:hAnsi="Arial Narrow" w:cs="Courier New"/>
          <w:sz w:val="24"/>
          <w:szCs w:val="24"/>
        </w:rPr>
        <w:t xml:space="preserve">plazo para el pago cuando se </w:t>
      </w:r>
      <w:r w:rsidR="00AD158A">
        <w:rPr>
          <w:rFonts w:ascii="Arial Narrow" w:hAnsi="Arial Narrow" w:cs="Courier New"/>
          <w:sz w:val="24"/>
          <w:szCs w:val="24"/>
        </w:rPr>
        <w:t xml:space="preserve">trate de liquidación oficiosa o </w:t>
      </w:r>
      <w:r w:rsidRPr="00CB3B73">
        <w:rPr>
          <w:rFonts w:ascii="Arial Narrow" w:hAnsi="Arial Narrow" w:cs="Courier New"/>
          <w:sz w:val="24"/>
          <w:szCs w:val="24"/>
        </w:rPr>
        <w:t>imposición de multas aisladas, determinadas por la</w:t>
      </w:r>
      <w:r w:rsidR="00AD158A"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Administración Tributaria (Art. 84 CT).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F510C4" w:rsidRPr="00CB3B73" w:rsidRDefault="00360B57" w:rsidP="00AD158A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La retención es un mecanismo de cobro anticipado de u</w:t>
      </w:r>
      <w:r w:rsidR="00AD158A">
        <w:rPr>
          <w:rFonts w:ascii="Arial Narrow" w:hAnsi="Arial Narrow" w:cs="Arial Narrow"/>
          <w:sz w:val="24"/>
          <w:szCs w:val="24"/>
        </w:rPr>
        <w:t xml:space="preserve">n Impuesto en el momento en que </w:t>
      </w:r>
      <w:r w:rsidRPr="00CB3B73">
        <w:rPr>
          <w:rFonts w:ascii="Arial Narrow" w:hAnsi="Arial Narrow" w:cs="Arial Narrow"/>
          <w:sz w:val="24"/>
          <w:szCs w:val="24"/>
        </w:rPr>
        <w:t>sucede el hecho generador, el cual se puede descontar en la respectiva declaración.</w:t>
      </w:r>
      <w:r w:rsidR="00AD158A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En el siguiente cuadro se muestra la base legal vigente de las siguientes retenciones con respecto a</w:t>
      </w:r>
      <w:r w:rsidR="00AD158A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renta.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Pr="00CB3B73" w:rsidRDefault="00360B57" w:rsidP="00AD158A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Según el régimen de percepción consiste en que un sujeto obli</w:t>
      </w:r>
      <w:r w:rsidR="00AD158A">
        <w:rPr>
          <w:rFonts w:ascii="Arial Narrow" w:hAnsi="Arial Narrow" w:cs="Arial Narrow"/>
          <w:sz w:val="24"/>
          <w:szCs w:val="24"/>
        </w:rPr>
        <w:t xml:space="preserve">gado por el código tributario o </w:t>
      </w:r>
      <w:r w:rsidRPr="00CB3B73">
        <w:rPr>
          <w:rFonts w:ascii="Arial Narrow" w:hAnsi="Arial Narrow" w:cs="Arial Narrow"/>
          <w:sz w:val="24"/>
          <w:szCs w:val="24"/>
        </w:rPr>
        <w:t xml:space="preserve">designado por la administración tributaria, cuando realiza una </w:t>
      </w:r>
      <w:r w:rsidR="00AD158A">
        <w:rPr>
          <w:rFonts w:ascii="Arial Narrow" w:hAnsi="Arial Narrow" w:cs="Arial Narrow"/>
          <w:sz w:val="24"/>
          <w:szCs w:val="24"/>
        </w:rPr>
        <w:t xml:space="preserve">venta, debe recibir, un importe </w:t>
      </w:r>
      <w:r w:rsidRPr="00CB3B73">
        <w:rPr>
          <w:rFonts w:ascii="Arial Narrow" w:hAnsi="Arial Narrow" w:cs="Arial Narrow"/>
          <w:sz w:val="24"/>
          <w:szCs w:val="24"/>
        </w:rPr>
        <w:t>adicional en concepto de tributo para luego entregarlo al estado por cuenta de aquel, a quien</w:t>
      </w:r>
      <w:r w:rsidR="00AD158A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le entregue un comprobante de crédito fiscal.</w:t>
      </w:r>
    </w:p>
    <w:p w:rsidR="00360B57" w:rsidRPr="00AD158A" w:rsidRDefault="00360B57" w:rsidP="00CB3B73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Pr="00CB3B73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AD158A">
        <w:rPr>
          <w:rFonts w:ascii="Arial Narrow" w:hAnsi="Arial Narrow" w:cs="Arial Narrow,Bold"/>
          <w:bCs/>
          <w:i/>
          <w:sz w:val="24"/>
          <w:szCs w:val="24"/>
          <w:u w:val="single"/>
        </w:rPr>
        <w:t>Retención de impuesto sobre la renta</w:t>
      </w:r>
      <w:r w:rsidRPr="00AD158A">
        <w:rPr>
          <w:rFonts w:ascii="Arial Narrow" w:hAnsi="Arial Narrow" w:cs="Arial Narrow,Bold"/>
          <w:bCs/>
          <w:sz w:val="24"/>
          <w:szCs w:val="24"/>
          <w:u w:val="single"/>
        </w:rPr>
        <w:t>:</w:t>
      </w:r>
      <w:r>
        <w:rPr>
          <w:rFonts w:ascii="Arial Narrow" w:hAnsi="Arial Narrow" w:cs="Arial Narrow,Bold"/>
          <w:bCs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Es el acto mediante el cual el sujeto responsable de la obligación tributaria sustantiva está en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la obligación de hacer por mandato de la ley o por requerimiento de la Administración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Tributaria, la rebaja en la proporción debida, establecida por el Código o la ley tributaria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respectiva, de la remuneración pagada así como enterar dentro del plazo legal, las sumas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retenidas. (Artículo 93 Reglamento de aplicación del Código Tributario)</w:t>
      </w:r>
    </w:p>
    <w:p w:rsidR="00AD158A" w:rsidRDefault="00AD158A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360B57" w:rsidRPr="00CB3B73" w:rsidRDefault="00AD158A" w:rsidP="00AD158A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AD158A">
        <w:rPr>
          <w:rFonts w:ascii="Arial Narrow" w:hAnsi="Arial Narrow" w:cs="Arial Narrow,Bold"/>
          <w:bCs/>
          <w:i/>
          <w:sz w:val="24"/>
          <w:szCs w:val="24"/>
          <w:u w:val="single"/>
        </w:rPr>
        <w:t>Agentes de retención</w:t>
      </w:r>
      <w:r>
        <w:rPr>
          <w:rFonts w:ascii="Arial Narrow" w:hAnsi="Arial Narrow" w:cs="Arial Narrow,Bold"/>
          <w:bCs/>
          <w:i/>
          <w:sz w:val="24"/>
          <w:szCs w:val="24"/>
          <w:u w:val="single"/>
        </w:rPr>
        <w:t xml:space="preserve">: </w:t>
      </w:r>
      <w:r w:rsidR="00360B57" w:rsidRPr="00CB3B73">
        <w:rPr>
          <w:rFonts w:ascii="Arial Narrow" w:hAnsi="Arial Narrow" w:cs="Arial Narrow"/>
          <w:sz w:val="24"/>
          <w:szCs w:val="24"/>
        </w:rPr>
        <w:t>De acuerdo al artículo 154 del Código Tributario y artículo 98 de su respectivo reglamento,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son agentes de retención aquellos sujetos obligados a retener una parte de las rentas que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paguen o acrediten a otros sujetos, o que sean designados p</w:t>
      </w:r>
      <w:r>
        <w:rPr>
          <w:rFonts w:ascii="Arial Narrow" w:hAnsi="Arial Narrow" w:cs="Arial Narrow"/>
          <w:sz w:val="24"/>
          <w:szCs w:val="24"/>
        </w:rPr>
        <w:t xml:space="preserve">or la Administración Tributaria </w:t>
      </w:r>
      <w:r w:rsidR="00360B57" w:rsidRPr="00CB3B73">
        <w:rPr>
          <w:rFonts w:ascii="Arial Narrow" w:hAnsi="Arial Narrow" w:cs="Arial Narrow"/>
          <w:sz w:val="24"/>
          <w:szCs w:val="24"/>
        </w:rPr>
        <w:t>para actuar como tal, para lo cual dicha designación se realizará en forma escrita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conteniendo el nombre completo, Número de Identificación Tributaria, monto del adeudo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principal y multas por infracciones cometidas y la cantidad que deberá retener y desde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cuándo.</w:t>
      </w: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Pr="00CB3B73" w:rsidRDefault="00DC3298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i/>
          <w:sz w:val="24"/>
          <w:szCs w:val="24"/>
          <w:u w:val="single"/>
        </w:rPr>
        <w:t>Momento de efectuar la retención</w:t>
      </w:r>
      <w:r>
        <w:rPr>
          <w:rFonts w:ascii="Arial Narrow" w:hAnsi="Arial Narrow" w:cs="Arial Narrow,Bold"/>
          <w:bCs/>
          <w:i/>
          <w:sz w:val="24"/>
          <w:szCs w:val="24"/>
          <w:u w:val="single"/>
        </w:rPr>
        <w:t xml:space="preserve">: </w:t>
      </w:r>
      <w:r w:rsidR="00360B57" w:rsidRPr="00CB3B73">
        <w:rPr>
          <w:rFonts w:ascii="Arial Narrow" w:hAnsi="Arial Narrow" w:cs="Arial Narrow"/>
          <w:sz w:val="24"/>
          <w:szCs w:val="24"/>
        </w:rPr>
        <w:t>La retención se efectuará en todo caso en el momento de hacerse el pago en cualquiera de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sus formas o de acreditarse la renta o en el momento de entregarse el premio. Cuando el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pago se haga por operaciones contables se ten</w:t>
      </w:r>
      <w:r>
        <w:rPr>
          <w:rFonts w:ascii="Arial Narrow" w:hAnsi="Arial Narrow" w:cs="Arial Narrow"/>
          <w:sz w:val="24"/>
          <w:szCs w:val="24"/>
        </w:rPr>
        <w:t xml:space="preserve">drá como fecha de pago la de la </w:t>
      </w:r>
      <w:r w:rsidR="00360B57" w:rsidRPr="00CB3B73">
        <w:rPr>
          <w:rFonts w:ascii="Arial Narrow" w:hAnsi="Arial Narrow" w:cs="Arial Narrow"/>
          <w:sz w:val="24"/>
          <w:szCs w:val="24"/>
        </w:rPr>
        <w:t>contabilización respectiva. (Artículo 94.- Reglamento Código Tributario)</w:t>
      </w:r>
    </w:p>
    <w:p w:rsidR="00360B57" w:rsidRPr="00CB3B73" w:rsidRDefault="00DC3298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i/>
          <w:sz w:val="24"/>
          <w:szCs w:val="24"/>
          <w:u w:val="single"/>
        </w:rPr>
        <w:lastRenderedPageBreak/>
        <w:t>Servicios de carácter permanente</w:t>
      </w:r>
      <w:r>
        <w:rPr>
          <w:rFonts w:ascii="Arial Narrow" w:hAnsi="Arial Narrow" w:cs="Arial Narrow,Bold"/>
          <w:bCs/>
          <w:i/>
          <w:sz w:val="24"/>
          <w:szCs w:val="24"/>
          <w:u w:val="single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Se consideran servicios de carácter permanente, aquellos cuya prestación es regulada por la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Ley Laboral y su remuneración es el devengo de salarios, sueldos, sobresueldos, horas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extras, primas, comisiones, gratificaciones, bonificaciones, aguinaldos y cualquier otra</w:t>
      </w:r>
      <w:r>
        <w:rPr>
          <w:rFonts w:ascii="Arial Narrow" w:hAnsi="Arial Narrow" w:cs="Arial Narrow"/>
          <w:sz w:val="24"/>
          <w:szCs w:val="24"/>
        </w:rPr>
        <w:t xml:space="preserve">  </w:t>
      </w:r>
      <w:r w:rsidR="00360B57" w:rsidRPr="00CB3B73">
        <w:rPr>
          <w:rFonts w:ascii="Arial Narrow" w:hAnsi="Arial Narrow" w:cs="Arial Narrow"/>
          <w:sz w:val="24"/>
          <w:szCs w:val="24"/>
        </w:rPr>
        <w:t>compensación por servicios personales, ya sean que estos se paguen en efectivo o en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 xml:space="preserve">especie y en donde la prestación de servicios es por tiempo </w:t>
      </w:r>
      <w:r>
        <w:rPr>
          <w:rFonts w:ascii="Arial Narrow" w:hAnsi="Arial Narrow" w:cs="Arial Narrow"/>
          <w:sz w:val="24"/>
          <w:szCs w:val="24"/>
        </w:rPr>
        <w:t xml:space="preserve">indefinido o bien cuando dichos </w:t>
      </w:r>
      <w:r w:rsidR="00360B57" w:rsidRPr="00CB3B73">
        <w:rPr>
          <w:rFonts w:ascii="Arial Narrow" w:hAnsi="Arial Narrow" w:cs="Arial Narrow"/>
          <w:sz w:val="24"/>
          <w:szCs w:val="24"/>
        </w:rPr>
        <w:t>servicios se contraten por un plazo determinado sea a tiempo completo, medio tiempo o</w:t>
      </w:r>
      <w:r w:rsidR="00360B57" w:rsidRPr="00CB3B73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tiempo </w:t>
      </w:r>
      <w:r w:rsidR="00360B57" w:rsidRPr="00CB3B73">
        <w:rPr>
          <w:rFonts w:ascii="Arial Narrow" w:hAnsi="Arial Narrow" w:cs="Arial Narrow"/>
          <w:sz w:val="24"/>
          <w:szCs w:val="24"/>
        </w:rPr>
        <w:t>parcial con carácter de subordinación o dependencia.</w:t>
      </w:r>
      <w:r w:rsidR="00360B57" w:rsidRPr="00CB3B73">
        <w:rPr>
          <w:rFonts w:ascii="Arial Narrow" w:hAnsi="Arial Narrow" w:cs="Arial Narrow"/>
          <w:sz w:val="24"/>
          <w:szCs w:val="24"/>
        </w:rPr>
        <w:t xml:space="preserve"> (</w:t>
      </w:r>
      <w:proofErr w:type="spellStart"/>
      <w:r w:rsidR="00360B57" w:rsidRPr="00CB3B73">
        <w:rPr>
          <w:rFonts w:ascii="Arial Narrow" w:hAnsi="Arial Narrow" w:cs="Arial Narrow"/>
          <w:sz w:val="24"/>
          <w:szCs w:val="24"/>
        </w:rPr>
        <w:t>Articulo</w:t>
      </w:r>
      <w:proofErr w:type="spellEnd"/>
      <w:r w:rsidR="00360B57" w:rsidRPr="00CB3B73">
        <w:rPr>
          <w:rFonts w:ascii="Arial Narrow" w:hAnsi="Arial Narrow" w:cs="Arial Narrow"/>
          <w:sz w:val="24"/>
          <w:szCs w:val="24"/>
        </w:rPr>
        <w:t xml:space="preserve"> 95 Reglamento Código </w:t>
      </w:r>
      <w:r w:rsidR="00360B57" w:rsidRPr="00CB3B73">
        <w:rPr>
          <w:rFonts w:ascii="Arial Narrow" w:hAnsi="Arial Narrow" w:cs="Arial Narrow"/>
          <w:sz w:val="24"/>
          <w:szCs w:val="24"/>
        </w:rPr>
        <w:t>Tributario)</w:t>
      </w: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Pr="00CB3B73" w:rsidRDefault="00360B57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Dentro de las retenciones del Impuesto sobre la Renta se encuentran las retenciones</w:t>
      </w:r>
      <w:r w:rsidR="00DC3298">
        <w:rPr>
          <w:rFonts w:ascii="Arial Narrow" w:hAnsi="Arial Narrow" w:cs="Arial Narrow"/>
          <w:sz w:val="24"/>
          <w:szCs w:val="24"/>
        </w:rPr>
        <w:t xml:space="preserve"> efectuadas a </w:t>
      </w:r>
      <w:r w:rsidRPr="00CB3B73">
        <w:rPr>
          <w:rFonts w:ascii="Arial Narrow" w:hAnsi="Arial Narrow" w:cs="Arial Narrow"/>
          <w:sz w:val="24"/>
          <w:szCs w:val="24"/>
        </w:rPr>
        <w:t xml:space="preserve">personas con dependencia laboral, de acuerdo </w:t>
      </w:r>
      <w:r w:rsidR="00DC3298">
        <w:rPr>
          <w:rFonts w:ascii="Arial Narrow" w:hAnsi="Arial Narrow" w:cs="Arial Narrow"/>
          <w:sz w:val="24"/>
          <w:szCs w:val="24"/>
        </w:rPr>
        <w:t xml:space="preserve">a lo establecido en el artículo </w:t>
      </w:r>
      <w:r w:rsidRPr="00CB3B73">
        <w:rPr>
          <w:rFonts w:ascii="Arial Narrow" w:hAnsi="Arial Narrow" w:cs="Arial Narrow"/>
          <w:sz w:val="24"/>
          <w:szCs w:val="24"/>
        </w:rPr>
        <w:t>155 del Código Tributario, los sujetos pasivos que emplean a</w:t>
      </w:r>
      <w:r w:rsidR="00DC3298">
        <w:rPr>
          <w:rFonts w:ascii="Arial Narrow" w:hAnsi="Arial Narrow" w:cs="Arial Narrow"/>
          <w:sz w:val="24"/>
          <w:szCs w:val="24"/>
        </w:rPr>
        <w:t xml:space="preserve"> personas naturales que prestan </w:t>
      </w:r>
      <w:r w:rsidRPr="00CB3B73">
        <w:rPr>
          <w:rFonts w:ascii="Arial Narrow" w:hAnsi="Arial Narrow" w:cs="Arial Narrow"/>
          <w:sz w:val="24"/>
          <w:szCs w:val="24"/>
        </w:rPr>
        <w:t>sus servicios de carácter permanente, deben retener un anticipo de Impuesto sobre la Renta</w:t>
      </w: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360B57" w:rsidRPr="00CB3B73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szCs w:val="24"/>
          <w:u w:val="single"/>
        </w:rPr>
        <w:t>Prestación de servicios</w:t>
      </w:r>
      <w:r>
        <w:rPr>
          <w:rFonts w:ascii="Arial Narrow" w:hAnsi="Arial Narrow" w:cs="Arial Narrow,Bold"/>
          <w:bCs/>
          <w:szCs w:val="24"/>
          <w:u w:val="single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También existen retenciones efectuadas por la prestaci</w:t>
      </w:r>
      <w:r>
        <w:rPr>
          <w:rFonts w:ascii="Arial Narrow" w:hAnsi="Arial Narrow" w:cs="Arial Narrow"/>
          <w:sz w:val="24"/>
          <w:szCs w:val="24"/>
        </w:rPr>
        <w:t xml:space="preserve">ón de servicios sin dependencia </w:t>
      </w:r>
      <w:r w:rsidR="00360B57" w:rsidRPr="00CB3B73">
        <w:rPr>
          <w:rFonts w:ascii="Arial Narrow" w:hAnsi="Arial Narrow" w:cs="Arial Narrow"/>
          <w:sz w:val="24"/>
          <w:szCs w:val="24"/>
        </w:rPr>
        <w:t>laboral, según lo establecido en el artículo 156 del Código Tributario y 96 de su respectivo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reglamento, todos los sujetos que actúen en calidad de agent</w:t>
      </w:r>
      <w:r>
        <w:rPr>
          <w:rFonts w:ascii="Arial Narrow" w:hAnsi="Arial Narrow" w:cs="Arial Narrow"/>
          <w:sz w:val="24"/>
          <w:szCs w:val="24"/>
        </w:rPr>
        <w:t xml:space="preserve">e de retención deben retener el </w:t>
      </w:r>
      <w:r w:rsidR="00360B57" w:rsidRPr="00CB3B73">
        <w:rPr>
          <w:rFonts w:ascii="Arial Narrow" w:hAnsi="Arial Narrow" w:cs="Arial Narrow"/>
          <w:sz w:val="24"/>
          <w:szCs w:val="24"/>
        </w:rPr>
        <w:t>10% como parte del anticipo del Impuesto sobre la Renta, del pago efectuado por el servicio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prestado por personas con las que no tengan depende</w:t>
      </w:r>
      <w:r>
        <w:rPr>
          <w:rFonts w:ascii="Arial Narrow" w:hAnsi="Arial Narrow" w:cs="Arial Narrow"/>
          <w:sz w:val="24"/>
          <w:szCs w:val="24"/>
        </w:rPr>
        <w:t xml:space="preserve">ncia laboral, incluso por pagos </w:t>
      </w:r>
      <w:r w:rsidR="00360B57" w:rsidRPr="00CB3B73">
        <w:rPr>
          <w:rFonts w:ascii="Arial Narrow" w:hAnsi="Arial Narrow" w:cs="Arial Narrow"/>
          <w:sz w:val="24"/>
          <w:szCs w:val="24"/>
        </w:rPr>
        <w:t>efectuados por servicios de arrendamiento a personas natura</w:t>
      </w:r>
      <w:r>
        <w:rPr>
          <w:rFonts w:ascii="Arial Narrow" w:hAnsi="Arial Narrow" w:cs="Arial Narrow"/>
          <w:sz w:val="24"/>
          <w:szCs w:val="24"/>
        </w:rPr>
        <w:t xml:space="preserve">les, sin embargo, se excluye de </w:t>
      </w:r>
      <w:r w:rsidR="00360B57" w:rsidRPr="00CB3B73">
        <w:rPr>
          <w:rFonts w:ascii="Arial Narrow" w:hAnsi="Arial Narrow" w:cs="Arial Narrow"/>
          <w:sz w:val="24"/>
          <w:szCs w:val="24"/>
        </w:rPr>
        <w:t>la referida retención los pagos efectuados a personas naturales que trabajen en la</w:t>
      </w:r>
      <w:r w:rsidR="00360B57" w:rsidRPr="00CB3B73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 xml:space="preserve">recolección de </w:t>
      </w:r>
      <w:r w:rsidR="00360B57" w:rsidRPr="00CB3B73">
        <w:rPr>
          <w:rFonts w:ascii="Arial Narrow" w:hAnsi="Arial Narrow" w:cs="Arial Narrow"/>
          <w:sz w:val="24"/>
          <w:szCs w:val="24"/>
        </w:rPr>
        <w:t>productos agrícolas y que el servicio s</w:t>
      </w:r>
      <w:r>
        <w:rPr>
          <w:rFonts w:ascii="Arial Narrow" w:hAnsi="Arial Narrow" w:cs="Arial Narrow"/>
          <w:sz w:val="24"/>
          <w:szCs w:val="24"/>
        </w:rPr>
        <w:t xml:space="preserve">ea prestado en forma temporal o </w:t>
      </w:r>
      <w:r w:rsidR="00360B57" w:rsidRPr="00CB3B73">
        <w:rPr>
          <w:rFonts w:ascii="Arial Narrow" w:hAnsi="Arial Narrow" w:cs="Arial Narrow"/>
          <w:sz w:val="24"/>
          <w:szCs w:val="24"/>
        </w:rPr>
        <w:t>eventual esto con el fin de incentivar la economía del sector agrícola.</w:t>
      </w: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Default="00360B57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Entre las retenciones efectuadas a prestación de serv</w:t>
      </w:r>
      <w:r w:rsidR="00DC3298">
        <w:rPr>
          <w:rFonts w:ascii="Arial Narrow" w:hAnsi="Arial Narrow" w:cs="Arial Narrow"/>
          <w:sz w:val="24"/>
          <w:szCs w:val="24"/>
        </w:rPr>
        <w:t xml:space="preserve">icios también se encuentran las </w:t>
      </w:r>
      <w:r w:rsidRPr="00CB3B73">
        <w:rPr>
          <w:rFonts w:ascii="Arial Narrow" w:hAnsi="Arial Narrow" w:cs="Arial Narrow"/>
          <w:sz w:val="24"/>
          <w:szCs w:val="24"/>
        </w:rPr>
        <w:t>Retenciones a empresas amparadas bajo el régimen de la Le</w:t>
      </w:r>
      <w:r w:rsidR="00DC3298">
        <w:rPr>
          <w:rFonts w:ascii="Arial Narrow" w:hAnsi="Arial Narrow" w:cs="Arial Narrow"/>
          <w:sz w:val="24"/>
          <w:szCs w:val="24"/>
        </w:rPr>
        <w:t xml:space="preserve">y de Servicios Internacionales, </w:t>
      </w:r>
      <w:r w:rsidRPr="00CB3B73">
        <w:rPr>
          <w:rFonts w:ascii="Arial Narrow" w:hAnsi="Arial Narrow" w:cs="Arial Narrow"/>
          <w:sz w:val="24"/>
          <w:szCs w:val="24"/>
        </w:rPr>
        <w:t>cuando una empresa amparada bajo este régimen, preste alguna clase de servicio por la cual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este beneficiada solamente para servicios al exterior y lo realiza con una empresa del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mercado nacional en El Salvador, este independientemente de su clasificación, deberá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retener el 1.</w:t>
      </w:r>
      <w:r w:rsidRPr="00CB3B73">
        <w:rPr>
          <w:rFonts w:ascii="Arial Narrow" w:hAnsi="Arial Narrow" w:cs="Arial Narrow"/>
          <w:sz w:val="24"/>
          <w:szCs w:val="24"/>
        </w:rPr>
        <w:t>75</w:t>
      </w:r>
      <w:r w:rsidRPr="00CB3B73">
        <w:rPr>
          <w:rFonts w:ascii="Arial Narrow" w:hAnsi="Arial Narrow" w:cs="Arial Narrow"/>
          <w:sz w:val="24"/>
          <w:szCs w:val="24"/>
        </w:rPr>
        <w:t>% en concepto de anticipo del Impuesto sobre la Renta, el cual deberá ser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enterado dentro del plazo estipulado para las retenciones en la Ley del Impuesto sobre la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Renta; en consecuencia, dichas rentas no estarán sujetas al sistema de pago o anticipo a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 xml:space="preserve">cuenta previsto en el Código Tributario, cabe mencionar de </w:t>
      </w:r>
      <w:r w:rsidRPr="00CB3B73">
        <w:rPr>
          <w:rFonts w:ascii="Arial Narrow" w:hAnsi="Arial Narrow" w:cs="Arial Narrow"/>
          <w:sz w:val="24"/>
          <w:szCs w:val="24"/>
        </w:rPr>
        <w:lastRenderedPageBreak/>
        <w:t>que la prestación de servicios al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mercado nacional sólo podrá realizarse a contribuyentes debidamente inscritos en el Registro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de Contribuyentes del Impuesto a la Transferencia de Bienes Muebles y a la Prestación de</w:t>
      </w:r>
      <w:r w:rsidR="00DC3298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Servicios.</w:t>
      </w:r>
    </w:p>
    <w:p w:rsidR="00DC3298" w:rsidRPr="00DC3298" w:rsidRDefault="00DC3298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360B57" w:rsidRPr="00CB3B73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sz w:val="24"/>
          <w:szCs w:val="24"/>
          <w:u w:val="single"/>
        </w:rPr>
        <w:t>Adquisición de bienes intangibles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360B57" w:rsidRPr="00CB3B73">
        <w:rPr>
          <w:rFonts w:ascii="Arial Narrow" w:hAnsi="Arial Narrow" w:cs="Arial Narrow"/>
          <w:sz w:val="24"/>
          <w:szCs w:val="24"/>
        </w:rPr>
        <w:t>Además de las retenciones por prestación de servicios, existen retenciones por operaciones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realizadas como la adquisición de bienes intangibles o derechos de uso o concesión de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bienes tangibles o intangibles, en donde las persona que actúe como agente de retención,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deberá retener el 10% de Impuesto sobre la Renta si el sujeto a retención es persona natural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caso contrario se aplicara la retención del 5%. (Artículo 156-A del Código Tributario)</w:t>
      </w: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CB3B73" w:rsidRPr="00CB3B73" w:rsidRDefault="00DC3298" w:rsidP="00DC3298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sz w:val="24"/>
          <w:szCs w:val="24"/>
          <w:u w:val="single"/>
        </w:rPr>
        <w:t>Operaciones de renta y asimiladas a renta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360B57" w:rsidRPr="00CB3B73">
        <w:rPr>
          <w:rFonts w:ascii="Arial Narrow" w:hAnsi="Arial Narrow" w:cs="Arial Narrow"/>
          <w:sz w:val="24"/>
          <w:szCs w:val="24"/>
        </w:rPr>
        <w:t>Así también, se efectuará una retención de Impuesto sobre la Renta del 10% a las cantidades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pagadas en concepto de rendimiento de capitales invertidos o de títulos valores,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indemnizaciones, retiros o anticipos a cuenta de ganancias o dividendos, exceptuando las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operaciones que ya fueron objeto a retención y que esté debidamente documentado dicho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respaldo a excepción de las indemnizaciones laborales que no excedan el límite establecido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 xml:space="preserve">en el </w:t>
      </w:r>
      <w:proofErr w:type="spellStart"/>
      <w:r w:rsidR="00360B57" w:rsidRPr="00CB3B73">
        <w:rPr>
          <w:rFonts w:ascii="Arial Narrow" w:hAnsi="Arial Narrow" w:cs="Arial Narrow"/>
          <w:sz w:val="24"/>
          <w:szCs w:val="24"/>
        </w:rPr>
        <w:t>articulo</w:t>
      </w:r>
      <w:proofErr w:type="spellEnd"/>
      <w:r w:rsidR="00360B57" w:rsidRPr="00CB3B73">
        <w:rPr>
          <w:rFonts w:ascii="Arial Narrow" w:hAnsi="Arial Narrow" w:cs="Arial Narrow"/>
          <w:sz w:val="24"/>
          <w:szCs w:val="24"/>
        </w:rPr>
        <w:t xml:space="preserve"> 4 numeral 3) de la Ley de Impuesto sobre la Renta, el cual será de un salario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360B57" w:rsidRPr="00CB3B73">
        <w:rPr>
          <w:rFonts w:ascii="Arial Narrow" w:hAnsi="Arial Narrow" w:cs="Arial Narrow"/>
          <w:sz w:val="24"/>
          <w:szCs w:val="24"/>
        </w:rPr>
        <w:t>básico de treinta días por cada año de servicio, el cual no podrá ser mayor al salario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promedio de lo devengado en los últimos doce m</w:t>
      </w:r>
      <w:r>
        <w:rPr>
          <w:rFonts w:ascii="Arial Narrow" w:hAnsi="Arial Narrow" w:cs="Arial Narrow"/>
          <w:sz w:val="24"/>
          <w:szCs w:val="24"/>
        </w:rPr>
        <w:t xml:space="preserve">eses y este haya sido sujeto de </w:t>
      </w:r>
      <w:r w:rsidR="00CB3B73" w:rsidRPr="00CB3B73">
        <w:rPr>
          <w:rFonts w:ascii="Arial Narrow" w:hAnsi="Arial Narrow" w:cs="Arial Narrow"/>
          <w:sz w:val="24"/>
          <w:szCs w:val="24"/>
        </w:rPr>
        <w:t>retención.(Articulo 156 B Código Tributario).</w:t>
      </w:r>
      <w:r w:rsidR="00CB3B73" w:rsidRPr="00CB3B73">
        <w:rPr>
          <w:rFonts w:ascii="Arial Narrow" w:hAnsi="Arial Narrow" w:cs="Arial Narrow"/>
          <w:sz w:val="24"/>
          <w:szCs w:val="24"/>
        </w:rPr>
        <w:t xml:space="preserve"> </w:t>
      </w:r>
    </w:p>
    <w:p w:rsidR="004D454B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alibri"/>
          <w:sz w:val="24"/>
          <w:szCs w:val="24"/>
        </w:rPr>
      </w:pPr>
    </w:p>
    <w:p w:rsidR="00DC3298" w:rsidRDefault="00DC3298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DC3298">
        <w:rPr>
          <w:rFonts w:ascii="Arial Narrow" w:hAnsi="Arial Narrow" w:cs="Arial Narrow,Bold"/>
          <w:bCs/>
          <w:sz w:val="24"/>
          <w:szCs w:val="24"/>
          <w:u w:val="single"/>
        </w:rPr>
        <w:t>Rentas provenientes de depósitos y títulos valores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CB3B73" w:rsidRPr="00CB3B73">
        <w:rPr>
          <w:rFonts w:ascii="Arial Narrow" w:hAnsi="Arial Narrow" w:cs="Arial Narrow"/>
          <w:sz w:val="24"/>
          <w:szCs w:val="24"/>
        </w:rPr>
        <w:t>Toda institución financiera que pague o acredite a un sujeto pasivo domiciliado en el país,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intereses, premios y otras utilidades que provengan directamente de los depósitos en dinero,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deberá retenerle por concepto de anticipo de Impuesto sobre la Renta, el diez por ciento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(10%) de dichas sumas, la misma obligación tendrán los emisores de títulos valores.</w:t>
      </w:r>
    </w:p>
    <w:p w:rsidR="00CB3B73" w:rsidRPr="00CB3B73" w:rsidRDefault="00CB3B73" w:rsidP="00CB3B73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CB3B73" w:rsidRPr="00CB3B73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4D454B">
        <w:rPr>
          <w:rFonts w:ascii="Arial Narrow" w:hAnsi="Arial Narrow" w:cs="Arial Narrow,Bold"/>
          <w:bCs/>
          <w:sz w:val="24"/>
          <w:szCs w:val="24"/>
          <w:u w:val="single"/>
        </w:rPr>
        <w:t>Sujetos del impuesto no domiciliados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CB3B73" w:rsidRPr="00CB3B73">
        <w:rPr>
          <w:rFonts w:ascii="Arial Narrow" w:hAnsi="Arial Narrow" w:cs="Arial Narrow"/>
          <w:sz w:val="24"/>
          <w:szCs w:val="24"/>
        </w:rPr>
        <w:t>Para operaciones realizadas con sujetos o entidades no domiciliados, los agentes de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retención del Impuesto sobre la Renta deberán retener el 20% sobre el pago por rentas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obtenidas a dichos sujetos, aunque estos sean antic</w:t>
      </w:r>
      <w:r>
        <w:rPr>
          <w:rFonts w:ascii="Arial Narrow" w:hAnsi="Arial Narrow" w:cs="Arial Narrow"/>
          <w:sz w:val="24"/>
          <w:szCs w:val="24"/>
        </w:rPr>
        <w:t xml:space="preserve">ipos de tales pagos, además, se </w:t>
      </w:r>
      <w:r w:rsidR="00CB3B73" w:rsidRPr="00CB3B73">
        <w:rPr>
          <w:rFonts w:ascii="Arial Narrow" w:hAnsi="Arial Narrow" w:cs="Arial Narrow"/>
          <w:sz w:val="24"/>
          <w:szCs w:val="24"/>
        </w:rPr>
        <w:t>realizará retención a las cantidades pagadas a los prestador</w:t>
      </w:r>
      <w:r>
        <w:rPr>
          <w:rFonts w:ascii="Arial Narrow" w:hAnsi="Arial Narrow" w:cs="Arial Narrow"/>
          <w:sz w:val="24"/>
          <w:szCs w:val="24"/>
        </w:rPr>
        <w:t xml:space="preserve">es de servicios no domiciliados en el </w:t>
      </w:r>
      <w:r w:rsidR="00CB3B73" w:rsidRPr="00CB3B73">
        <w:rPr>
          <w:rFonts w:ascii="Arial Narrow" w:hAnsi="Arial Narrow" w:cs="Arial Narrow"/>
          <w:sz w:val="24"/>
          <w:szCs w:val="24"/>
        </w:rPr>
        <w:lastRenderedPageBreak/>
        <w:t>país, por servicios procedentes del exterior utilizados en el territorio nacional. (</w:t>
      </w:r>
      <w:proofErr w:type="spellStart"/>
      <w:r>
        <w:rPr>
          <w:rFonts w:ascii="Arial Narrow" w:hAnsi="Arial Narrow" w:cs="Arial Narrow"/>
          <w:sz w:val="24"/>
          <w:szCs w:val="24"/>
        </w:rPr>
        <w:t>Articulo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103 Reglamento Código Tributario)</w:t>
      </w:r>
    </w:p>
    <w:p w:rsidR="004D454B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Cs/>
          <w:sz w:val="24"/>
          <w:szCs w:val="24"/>
          <w:u w:val="single"/>
        </w:rPr>
      </w:pPr>
    </w:p>
    <w:p w:rsidR="00CB3B73" w:rsidRPr="00CB3B73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4D454B">
        <w:rPr>
          <w:rFonts w:ascii="Arial Narrow" w:hAnsi="Arial Narrow" w:cs="Arial Narrow,Bold"/>
          <w:bCs/>
          <w:sz w:val="24"/>
          <w:szCs w:val="24"/>
          <w:u w:val="single"/>
        </w:rPr>
        <w:t>Constancia de retención de renta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CB3B73" w:rsidRPr="00CB3B73">
        <w:rPr>
          <w:rFonts w:ascii="Arial Narrow" w:hAnsi="Arial Narrow" w:cs="Arial Narrow"/>
          <w:sz w:val="24"/>
          <w:szCs w:val="24"/>
        </w:rPr>
        <w:t>Todo agente de retención está obligado a extender constancia al contribuyente, por las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cantidades retenidas, firmada por el agente retenedor, representante legal o apoderado, en el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que se exprese lo establecido en el artículo 145 del Código tributario</w:t>
      </w:r>
      <w:r>
        <w:rPr>
          <w:rFonts w:ascii="Arial Narrow" w:hAnsi="Arial Narrow" w:cs="Arial Narrow"/>
          <w:sz w:val="24"/>
          <w:szCs w:val="24"/>
        </w:rPr>
        <w:t>.</w:t>
      </w:r>
    </w:p>
    <w:p w:rsidR="00CB3B73" w:rsidRPr="00CB3B73" w:rsidRDefault="00CB3B73" w:rsidP="00CB3B73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CB3B73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4D454B">
        <w:rPr>
          <w:rFonts w:ascii="Arial Narrow" w:hAnsi="Arial Narrow" w:cs="Arial Narrow,Bold"/>
          <w:bCs/>
          <w:sz w:val="24"/>
          <w:szCs w:val="24"/>
          <w:u w:val="single"/>
        </w:rPr>
        <w:t>Plazo para enterar las retenciones de renta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CB3B73" w:rsidRPr="00CB3B73">
        <w:rPr>
          <w:rFonts w:ascii="Arial Narrow" w:hAnsi="Arial Narrow" w:cs="Arial Narrow"/>
          <w:sz w:val="24"/>
          <w:szCs w:val="24"/>
        </w:rPr>
        <w:t>Las cantidades retenidas deberán ser enteradas al colector resp</w:t>
      </w:r>
      <w:r>
        <w:rPr>
          <w:rFonts w:ascii="Arial Narrow" w:hAnsi="Arial Narrow" w:cs="Arial Narrow"/>
          <w:sz w:val="24"/>
          <w:szCs w:val="24"/>
        </w:rPr>
        <w:t xml:space="preserve">ectivo, dentro de los diez días </w:t>
      </w:r>
      <w:r w:rsidR="00CB3B73" w:rsidRPr="00CB3B73">
        <w:rPr>
          <w:rFonts w:ascii="Arial Narrow" w:hAnsi="Arial Narrow" w:cs="Arial Narrow"/>
          <w:sz w:val="24"/>
          <w:szCs w:val="24"/>
        </w:rPr>
        <w:t>hábiles que inmediatamente sigan al vencimiento del mes calendario en que se efectúa la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retención.</w:t>
      </w:r>
    </w:p>
    <w:p w:rsidR="004D454B" w:rsidRPr="00CB3B73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CB3B73" w:rsidRPr="00CB3B73" w:rsidRDefault="00CB3B73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Cuando se trate de remuneraciones pagadas por día,</w:t>
      </w:r>
      <w:r w:rsidR="004D454B">
        <w:rPr>
          <w:rFonts w:ascii="Arial Narrow" w:hAnsi="Arial Narrow" w:cs="Arial Narrow"/>
          <w:sz w:val="24"/>
          <w:szCs w:val="24"/>
        </w:rPr>
        <w:t xml:space="preserve"> por período especial, semana o </w:t>
      </w:r>
      <w:r w:rsidRPr="00CB3B73">
        <w:rPr>
          <w:rFonts w:ascii="Arial Narrow" w:hAnsi="Arial Narrow" w:cs="Arial Narrow"/>
          <w:sz w:val="24"/>
          <w:szCs w:val="24"/>
        </w:rPr>
        <w:t>quincena, el agente de retención deberá consolidar en períodos mensuales, las respectivas</w:t>
      </w:r>
      <w:r w:rsidR="004D454B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retenciones, debiendo proceder a su entero obligatoriamente dentro del término general</w:t>
      </w:r>
      <w:r w:rsidR="004D454B">
        <w:rPr>
          <w:rFonts w:ascii="Arial Narrow" w:hAnsi="Arial Narrow" w:cs="Arial Narrow"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establecido en el inciso precedente. (</w:t>
      </w:r>
      <w:proofErr w:type="spellStart"/>
      <w:r w:rsidRPr="00CB3B73">
        <w:rPr>
          <w:rFonts w:ascii="Arial Narrow" w:hAnsi="Arial Narrow" w:cs="Arial Narrow"/>
          <w:sz w:val="24"/>
          <w:szCs w:val="24"/>
        </w:rPr>
        <w:t>Articulo</w:t>
      </w:r>
      <w:proofErr w:type="spellEnd"/>
      <w:r w:rsidRPr="00CB3B73">
        <w:rPr>
          <w:rFonts w:ascii="Arial Narrow" w:hAnsi="Arial Narrow" w:cs="Arial Narrow"/>
          <w:sz w:val="24"/>
          <w:szCs w:val="24"/>
        </w:rPr>
        <w:t xml:space="preserve"> 100 Reglamento Código Tributario)</w:t>
      </w:r>
    </w:p>
    <w:p w:rsidR="00CB3B73" w:rsidRPr="00CB3B73" w:rsidRDefault="00CB3B73" w:rsidP="00CB3B73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CB3B73" w:rsidRPr="00CB3B73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4D454B">
        <w:rPr>
          <w:rFonts w:ascii="Arial Narrow" w:hAnsi="Arial Narrow" w:cs="Arial Narrow,Bold"/>
          <w:bCs/>
          <w:sz w:val="24"/>
          <w:szCs w:val="24"/>
          <w:u w:val="single"/>
        </w:rPr>
        <w:t xml:space="preserve">Retenciones de 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IVA: </w:t>
      </w:r>
      <w:r w:rsidR="00CB3B73" w:rsidRPr="00CB3B73">
        <w:rPr>
          <w:rFonts w:ascii="Arial Narrow" w:hAnsi="Arial Narrow" w:cs="Arial Narrow"/>
          <w:sz w:val="24"/>
          <w:szCs w:val="24"/>
        </w:rPr>
        <w:t>La responsabilidad del pago del Impuesto a la Transferencia de Bienes Muebles y a la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Prestación de Servicios, cuando quien transfiere bienes muebles corporales o presta servicios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CB3B73" w:rsidRPr="00CB3B73">
        <w:rPr>
          <w:rFonts w:ascii="Arial Narrow" w:hAnsi="Arial Narrow" w:cs="Arial Narrow"/>
          <w:sz w:val="24"/>
          <w:szCs w:val="24"/>
        </w:rPr>
        <w:t>gravados no tiene domicilio ni residencia en el país, recae e</w:t>
      </w:r>
      <w:r>
        <w:rPr>
          <w:rFonts w:ascii="Arial Narrow" w:hAnsi="Arial Narrow" w:cs="Arial Narrow"/>
          <w:sz w:val="24"/>
          <w:szCs w:val="24"/>
        </w:rPr>
        <w:t xml:space="preserve">xclusivamente, en el adquirente </w:t>
      </w:r>
      <w:r w:rsidR="00CB3B73" w:rsidRPr="00CB3B73">
        <w:rPr>
          <w:rFonts w:ascii="Arial Narrow" w:hAnsi="Arial Narrow" w:cs="Arial Narrow"/>
          <w:sz w:val="24"/>
          <w:szCs w:val="24"/>
        </w:rPr>
        <w:t>de los bienes o en el beneficiario de los servicios, quien está obligado a retener el impuesto.</w:t>
      </w:r>
    </w:p>
    <w:p w:rsidR="004D454B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CB3B73" w:rsidRPr="00CB3B73" w:rsidRDefault="00CB3B73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CB3B73">
        <w:rPr>
          <w:rFonts w:ascii="Arial Narrow" w:hAnsi="Arial Narrow" w:cs="Arial Narrow"/>
          <w:sz w:val="24"/>
          <w:szCs w:val="24"/>
        </w:rPr>
        <w:t>El retenedor tiene el carácter de tal, por ministerio de ley</w:t>
      </w:r>
      <w:r w:rsidR="004D454B">
        <w:rPr>
          <w:rFonts w:ascii="Arial Narrow" w:hAnsi="Arial Narrow" w:cs="Arial Narrow"/>
          <w:sz w:val="24"/>
          <w:szCs w:val="24"/>
        </w:rPr>
        <w:t xml:space="preserve"> y la retención debe efectuarla </w:t>
      </w:r>
      <w:r w:rsidRPr="00CB3B73">
        <w:rPr>
          <w:rFonts w:ascii="Arial Narrow" w:hAnsi="Arial Narrow" w:cs="Arial Narrow"/>
          <w:sz w:val="24"/>
          <w:szCs w:val="24"/>
        </w:rPr>
        <w:t>cualquiera que sea el monto de los servicios prestados</w:t>
      </w:r>
      <w:r w:rsidR="004D454B">
        <w:rPr>
          <w:rFonts w:ascii="Arial Narrow" w:hAnsi="Arial Narrow" w:cs="Arial Narrow"/>
          <w:sz w:val="24"/>
          <w:szCs w:val="24"/>
        </w:rPr>
        <w:t xml:space="preserve"> o precio pagado por los bienes </w:t>
      </w:r>
      <w:r w:rsidRPr="00CB3B73">
        <w:rPr>
          <w:rFonts w:ascii="Arial Narrow" w:hAnsi="Arial Narrow" w:cs="Arial Narrow"/>
          <w:sz w:val="24"/>
          <w:szCs w:val="24"/>
        </w:rPr>
        <w:t>adquiridos, aun cuando no sea contribuyente del mismo. (Artíc</w:t>
      </w:r>
      <w:r w:rsidR="004D454B">
        <w:rPr>
          <w:rFonts w:ascii="Arial Narrow" w:hAnsi="Arial Narrow" w:cs="Arial Narrow"/>
          <w:sz w:val="24"/>
          <w:szCs w:val="24"/>
        </w:rPr>
        <w:t xml:space="preserve">ulo 161 del Código Tributario y </w:t>
      </w:r>
      <w:r w:rsidRPr="00CB3B73">
        <w:rPr>
          <w:rFonts w:ascii="Arial Narrow" w:hAnsi="Arial Narrow" w:cs="Arial Narrow"/>
          <w:sz w:val="24"/>
          <w:szCs w:val="24"/>
        </w:rPr>
        <w:t>104 de su reglamento).</w:t>
      </w:r>
    </w:p>
    <w:p w:rsidR="004D454B" w:rsidRDefault="004D454B" w:rsidP="00CB3B73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CB3B73" w:rsidRDefault="00CB3B73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4D454B">
        <w:rPr>
          <w:rFonts w:ascii="Arial Narrow" w:hAnsi="Arial Narrow" w:cs="Arial Narrow,Bold"/>
          <w:bCs/>
          <w:sz w:val="24"/>
          <w:szCs w:val="24"/>
          <w:u w:val="single"/>
        </w:rPr>
        <w:t>Retenciones a personas no inscritas como contribuyentes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: </w:t>
      </w:r>
      <w:r w:rsidRPr="00CB3B73">
        <w:rPr>
          <w:rFonts w:ascii="Arial Narrow" w:hAnsi="Arial Narrow" w:cs="Arial Narrow"/>
          <w:sz w:val="24"/>
          <w:szCs w:val="24"/>
        </w:rPr>
        <w:t>Los sujetos clasificados como grandes o medianos contribuyentes que adquieran caña de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azúcar, café o leche en estado natural, carne en pie o en canal, o sean prestatarios de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servicios financieros que generen intereses por mutuos, préstamos u otro tipo de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financiamiento, servicios de arrendamiento, servicios de transporte de carga, así como por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 xml:space="preserve">dietas o cualquier otro emolumento de igual o similar naturaleza, prestado por </w:t>
      </w:r>
      <w:r w:rsidRPr="00CB3B73">
        <w:rPr>
          <w:rFonts w:ascii="Arial Narrow" w:hAnsi="Arial Narrow" w:cs="Arial Narrow"/>
          <w:sz w:val="24"/>
          <w:szCs w:val="24"/>
        </w:rPr>
        <w:lastRenderedPageBreak/>
        <w:t>personas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naturales no inscritos en el registro del Impuesto a la Transferencia de Bienes Muebles y a la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Prestación de Servicios, deberán retener el trece por ciento en concepto del citado impuesto.</w:t>
      </w:r>
      <w:r w:rsidR="004D454B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Pr="00CB3B73">
        <w:rPr>
          <w:rFonts w:ascii="Arial Narrow" w:hAnsi="Arial Narrow" w:cs="Arial Narrow"/>
          <w:sz w:val="24"/>
          <w:szCs w:val="24"/>
        </w:rPr>
        <w:t>(</w:t>
      </w:r>
      <w:proofErr w:type="spellStart"/>
      <w:r w:rsidRPr="00CB3B73">
        <w:rPr>
          <w:rFonts w:ascii="Arial Narrow" w:hAnsi="Arial Narrow" w:cs="Arial Narrow"/>
          <w:sz w:val="24"/>
          <w:szCs w:val="24"/>
        </w:rPr>
        <w:t>Articulo</w:t>
      </w:r>
      <w:proofErr w:type="spellEnd"/>
      <w:r w:rsidRPr="00CB3B73">
        <w:rPr>
          <w:rFonts w:ascii="Arial Narrow" w:hAnsi="Arial Narrow" w:cs="Arial Narrow"/>
          <w:sz w:val="24"/>
          <w:szCs w:val="24"/>
        </w:rPr>
        <w:t xml:space="preserve"> 160 Código Tributario)</w:t>
      </w:r>
      <w:r w:rsidR="004D454B">
        <w:rPr>
          <w:rFonts w:ascii="Arial Narrow" w:hAnsi="Arial Narrow" w:cs="Arial Narrow"/>
          <w:sz w:val="24"/>
          <w:szCs w:val="24"/>
        </w:rPr>
        <w:t>.</w:t>
      </w:r>
    </w:p>
    <w:p w:rsidR="004D454B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4D454B" w:rsidRPr="00CB3B73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Las facultades de fiscalizaci</w:t>
      </w:r>
      <w:r>
        <w:rPr>
          <w:rFonts w:ascii="Arial Narrow" w:hAnsi="Arial Narrow" w:cs="Courier New"/>
          <w:sz w:val="24"/>
          <w:szCs w:val="24"/>
        </w:rPr>
        <w:t xml:space="preserve">ón, inspección, investigación y </w:t>
      </w:r>
      <w:r w:rsidRPr="00CB3B73">
        <w:rPr>
          <w:rFonts w:ascii="Arial Narrow" w:hAnsi="Arial Narrow" w:cs="Courier New"/>
          <w:sz w:val="24"/>
          <w:szCs w:val="24"/>
        </w:rPr>
        <w:t>control concedidas por esta ley a La Administración Tributaria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caducan de la manera siguiente:</w:t>
      </w:r>
    </w:p>
    <w:p w:rsidR="004D454B" w:rsidRDefault="004D454B" w:rsidP="004D45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Courier New"/>
          <w:sz w:val="24"/>
          <w:szCs w:val="24"/>
        </w:rPr>
        <w:t>Tres años para la fiscalización de los impuestos pagados y presentados en tiempo legal y las liquidaciones de oficio al igual que las imposiciones conexas; cinco años para la fiscalización, liquidación del impuesto y aplicación de sanción en los casos que no se haya liquidado el impuesto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(Art. 175 literal a) CT).</w:t>
      </w:r>
    </w:p>
    <w:p w:rsidR="004D454B" w:rsidRDefault="004D454B" w:rsidP="004D45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Wingdings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Cinco años para requerir la presentación de liquidaciones de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impuestos (Art. 175 literal b) CT).</w:t>
      </w:r>
    </w:p>
    <w:p w:rsidR="004D454B" w:rsidRDefault="004D454B" w:rsidP="004D454B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Courier New"/>
          <w:sz w:val="24"/>
          <w:szCs w:val="24"/>
        </w:rPr>
        <w:t>Tres años para imponer sanciones aisladas por infracciones cometidas a partir del día siguiente al que se cometió la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infracción o el plazo de cinco años en los casos que no se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hubieren presentado liquidación del impuesto (Art. 175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AD158A">
        <w:rPr>
          <w:rFonts w:ascii="Arial Narrow" w:hAnsi="Arial Narrow" w:cs="Courier New"/>
          <w:sz w:val="24"/>
          <w:szCs w:val="24"/>
        </w:rPr>
        <w:t>literal c) CT).</w:t>
      </w:r>
      <w:r>
        <w:rPr>
          <w:rFonts w:ascii="Arial Narrow" w:hAnsi="Arial Narrow" w:cs="Courier New"/>
          <w:sz w:val="24"/>
          <w:szCs w:val="24"/>
        </w:rPr>
        <w:t xml:space="preserve"> </w:t>
      </w:r>
    </w:p>
    <w:p w:rsidR="004D454B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4D454B" w:rsidRPr="00CB3B73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AD158A">
        <w:rPr>
          <w:rFonts w:ascii="Arial Narrow" w:hAnsi="Arial Narrow" w:cs="Courier New"/>
          <w:sz w:val="24"/>
          <w:szCs w:val="24"/>
        </w:rPr>
        <w:t>En el caso del agentes de retención y percepción los plazos antes mencionados no se tomaran en cuenta ya que estos siempre serán exigidos, en el caso que el contribuyente alegue saldos a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favor, remanentes de crédito fiscal, beneficios, deducciones,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los plazos serán detenidos mientras se estudian la aceptación de</w:t>
      </w:r>
      <w:r>
        <w:rPr>
          <w:rFonts w:ascii="Arial Narrow" w:hAnsi="Arial Narrow" w:cs="Courier New"/>
          <w:sz w:val="24"/>
          <w:szCs w:val="24"/>
        </w:rPr>
        <w:t xml:space="preserve"> </w:t>
      </w:r>
      <w:r w:rsidRPr="00CB3B73">
        <w:rPr>
          <w:rFonts w:ascii="Arial Narrow" w:hAnsi="Arial Narrow" w:cs="Courier New"/>
          <w:sz w:val="24"/>
          <w:szCs w:val="24"/>
        </w:rPr>
        <w:t>las condiciones antes menciona</w:t>
      </w:r>
      <w:r>
        <w:rPr>
          <w:rFonts w:ascii="Arial Narrow" w:hAnsi="Arial Narrow" w:cs="Courier New"/>
          <w:sz w:val="24"/>
          <w:szCs w:val="24"/>
        </w:rPr>
        <w:t>das; en los plazos de caducidad.</w:t>
      </w:r>
    </w:p>
    <w:p w:rsidR="004D454B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</w:p>
    <w:p w:rsidR="004D454B" w:rsidRPr="00AD158A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Courier New"/>
          <w:sz w:val="24"/>
          <w:szCs w:val="24"/>
        </w:rPr>
      </w:pPr>
      <w:r w:rsidRPr="00CB3B73">
        <w:rPr>
          <w:rFonts w:ascii="Arial Narrow" w:hAnsi="Arial Narrow" w:cs="Courier New"/>
          <w:sz w:val="24"/>
          <w:szCs w:val="24"/>
        </w:rPr>
        <w:t>La Administración Tributari</w:t>
      </w:r>
      <w:r>
        <w:rPr>
          <w:rFonts w:ascii="Arial Narrow" w:hAnsi="Arial Narrow" w:cs="Courier New"/>
          <w:sz w:val="24"/>
          <w:szCs w:val="24"/>
        </w:rPr>
        <w:t xml:space="preserve">a deberá emitir y notificar las </w:t>
      </w:r>
      <w:r w:rsidRPr="00CB3B73">
        <w:rPr>
          <w:rFonts w:ascii="Arial Narrow" w:hAnsi="Arial Narrow" w:cs="Courier New"/>
          <w:sz w:val="24"/>
          <w:szCs w:val="24"/>
        </w:rPr>
        <w:t>resoluciones de mérito que procedan (Art. 175 CT).</w:t>
      </w:r>
    </w:p>
    <w:p w:rsidR="004D454B" w:rsidRPr="004D454B" w:rsidRDefault="004D454B" w:rsidP="004D45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bookmarkStart w:id="0" w:name="_GoBack"/>
      <w:bookmarkEnd w:id="0"/>
    </w:p>
    <w:sectPr w:rsidR="004D454B" w:rsidRPr="004D454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C28" w:rsidRDefault="00671C28" w:rsidP="00B962CE">
      <w:pPr>
        <w:spacing w:after="0" w:line="240" w:lineRule="auto"/>
      </w:pPr>
      <w:r>
        <w:separator/>
      </w:r>
    </w:p>
  </w:endnote>
  <w:endnote w:type="continuationSeparator" w:id="0">
    <w:p w:rsidR="00671C28" w:rsidRDefault="00671C28" w:rsidP="00B96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2CE" w:rsidRPr="00B962CE" w:rsidRDefault="00B962CE">
    <w:pPr>
      <w:pStyle w:val="Piedepgina"/>
      <w:rPr>
        <w:rFonts w:ascii="Monotype Corsiva" w:hAnsi="Monotype Corsiva"/>
      </w:rPr>
    </w:pPr>
    <w:r w:rsidRPr="00B962CE">
      <w:rPr>
        <w:rFonts w:ascii="Monotype Corsiva" w:hAnsi="Monotype Corsiva"/>
      </w:rPr>
      <w:t>RJUÁREZGT04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C28" w:rsidRDefault="00671C28" w:rsidP="00B962CE">
      <w:pPr>
        <w:spacing w:after="0" w:line="240" w:lineRule="auto"/>
      </w:pPr>
      <w:r>
        <w:separator/>
      </w:r>
    </w:p>
  </w:footnote>
  <w:footnote w:type="continuationSeparator" w:id="0">
    <w:p w:rsidR="00671C28" w:rsidRDefault="00671C28" w:rsidP="00B96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62CE" w:rsidRDefault="00B962CE" w:rsidP="00B962CE">
    <w:pPr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9EB131" wp14:editId="6B0071C0">
          <wp:simplePos x="0" y="0"/>
          <wp:positionH relativeFrom="margin">
            <wp:posOffset>5640070</wp:posOffset>
          </wp:positionH>
          <wp:positionV relativeFrom="margin">
            <wp:posOffset>-916305</wp:posOffset>
          </wp:positionV>
          <wp:extent cx="786765" cy="803910"/>
          <wp:effectExtent l="0" t="0" r="0" b="0"/>
          <wp:wrapSquare wrapText="bothSides"/>
          <wp:docPr id="13" name="Imagen 13" descr="C:\Users\ETELWOF\Desktop\LOGO DE LA UE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n 156" descr="C:\Users\ETELWOF\Desktop\LOGO DE LA U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18C17F" wp14:editId="4FC3EA98">
              <wp:simplePos x="0" y="0"/>
              <wp:positionH relativeFrom="column">
                <wp:posOffset>-110358</wp:posOffset>
              </wp:positionH>
              <wp:positionV relativeFrom="paragraph">
                <wp:posOffset>189186</wp:posOffset>
              </wp:positionV>
              <wp:extent cx="5927834" cy="0"/>
              <wp:effectExtent l="0" t="0" r="15875" b="1905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27834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  <a:prstDash val="dash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4.9pt" to="458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" strokecolor="black [3213]" strokeweight="1.5pt">
              <v:stroke dashstyle="dashDot"/>
            </v:line>
          </w:pict>
        </mc:Fallback>
      </mc:AlternateContent>
    </w:r>
    <w:r>
      <w:rPr>
        <w:rFonts w:ascii="Edwardian Script ITC" w:hAnsi="Edwardian Script ITC"/>
        <w:sz w:val="28"/>
      </w:rPr>
      <w:tab/>
    </w:r>
    <w:r>
      <w:rPr>
        <w:rFonts w:ascii="Edwardian Script ITC" w:hAnsi="Edwardian Script ITC"/>
        <w:sz w:val="28"/>
      </w:rPr>
      <w:t xml:space="preserve">Seminario De Auditoria. </w:t>
    </w:r>
    <w:r>
      <w:rPr>
        <w:rFonts w:ascii="Edwardian Script ITC" w:hAnsi="Edwardian Script ITC"/>
        <w:sz w:val="28"/>
      </w:rPr>
      <w:t xml:space="preserve"> </w:t>
    </w:r>
  </w:p>
  <w:p w:rsidR="00B962CE" w:rsidRDefault="00B962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D1E40"/>
    <w:multiLevelType w:val="hybridMultilevel"/>
    <w:tmpl w:val="5FCA557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0600C"/>
    <w:multiLevelType w:val="hybridMultilevel"/>
    <w:tmpl w:val="F902757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B57"/>
    <w:rsid w:val="00360B57"/>
    <w:rsid w:val="004D454B"/>
    <w:rsid w:val="00671C28"/>
    <w:rsid w:val="00AD158A"/>
    <w:rsid w:val="00B962CE"/>
    <w:rsid w:val="00CB3B73"/>
    <w:rsid w:val="00DC3298"/>
    <w:rsid w:val="00F5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15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962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62CE"/>
  </w:style>
  <w:style w:type="paragraph" w:styleId="Piedepgina">
    <w:name w:val="footer"/>
    <w:basedOn w:val="Normal"/>
    <w:link w:val="PiedepginaCar"/>
    <w:uiPriority w:val="99"/>
    <w:unhideWhenUsed/>
    <w:rsid w:val="00B962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62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D15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962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62CE"/>
  </w:style>
  <w:style w:type="paragraph" w:styleId="Piedepgina">
    <w:name w:val="footer"/>
    <w:basedOn w:val="Normal"/>
    <w:link w:val="PiedepginaCar"/>
    <w:uiPriority w:val="99"/>
    <w:unhideWhenUsed/>
    <w:rsid w:val="00B962C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62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2402</Words>
  <Characters>13211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ETELWOF</dc:creator>
  <cp:lastModifiedBy>ETELWOF</cp:lastModifiedBy>
  <cp:revision>2</cp:revision>
  <dcterms:created xsi:type="dcterms:W3CDTF">2013-10-11T22:48:00Z</dcterms:created>
  <dcterms:modified xsi:type="dcterms:W3CDTF">2013-10-11T23:56:00Z</dcterms:modified>
</cp:coreProperties>
</file>