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1C1" w:rsidRPr="009921C1" w:rsidRDefault="009921C1" w:rsidP="009921C1">
      <w:pPr>
        <w:spacing w:line="360" w:lineRule="auto"/>
        <w:jc w:val="center"/>
        <w:rPr>
          <w:rFonts w:ascii="Arial Narrow" w:hAnsi="Arial Narrow"/>
          <w:b/>
          <w:i/>
          <w:sz w:val="24"/>
          <w:szCs w:val="24"/>
          <w:u w:val="single"/>
        </w:rPr>
      </w:pPr>
      <w:r w:rsidRPr="009921C1">
        <w:rPr>
          <w:rFonts w:ascii="Arial Narrow" w:hAnsi="Arial Narrow"/>
          <w:b/>
          <w:i/>
          <w:sz w:val="24"/>
          <w:szCs w:val="24"/>
          <w:u w:val="single"/>
        </w:rPr>
        <w:t>RESUMEN DE PRECIOS DE TRANSFERENCIA</w:t>
      </w:r>
    </w:p>
    <w:p w:rsidR="009B71C2" w:rsidRPr="009B71C2" w:rsidRDefault="009B71C2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t xml:space="preserve">Debido a la creciente expansión que ha registrado en </w:t>
      </w:r>
      <w:r w:rsidRPr="009B71C2">
        <w:rPr>
          <w:rFonts w:ascii="Arial Narrow" w:hAnsi="Arial Narrow"/>
          <w:sz w:val="24"/>
          <w:szCs w:val="24"/>
        </w:rPr>
        <w:t xml:space="preserve">los últimos años  </w:t>
      </w:r>
      <w:r w:rsidRPr="009B71C2">
        <w:rPr>
          <w:rFonts w:ascii="Arial Narrow" w:hAnsi="Arial Narrow"/>
          <w:sz w:val="24"/>
          <w:szCs w:val="24"/>
        </w:rPr>
        <w:t xml:space="preserve">el flujo de mercancías entre los diferentes países del mundo, la </w:t>
      </w:r>
      <w:r w:rsidRPr="009B71C2"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demanda de bienes y servicios en mercados que antes no estaban </w:t>
      </w:r>
      <w:r w:rsidRPr="009B71C2"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abiertos al comercio internacional se ha incrementado, generando con </w:t>
      </w:r>
      <w:r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>ello la creación de Grupos de Empresas</w:t>
      </w:r>
      <w:r>
        <w:rPr>
          <w:rFonts w:ascii="Arial Narrow" w:hAnsi="Arial Narrow"/>
          <w:sz w:val="24"/>
          <w:szCs w:val="24"/>
        </w:rPr>
        <w:t xml:space="preserve">, las cuales se han expandido  </w:t>
      </w:r>
      <w:r w:rsidRPr="009B71C2">
        <w:rPr>
          <w:rFonts w:ascii="Arial Narrow" w:hAnsi="Arial Narrow"/>
          <w:sz w:val="24"/>
          <w:szCs w:val="24"/>
        </w:rPr>
        <w:t xml:space="preserve">geográficamente en busca de dichos mercados o de ventajas competitivas que les permitan maximizar sus utilidades. </w:t>
      </w:r>
    </w:p>
    <w:p w:rsidR="009B71C2" w:rsidRDefault="009B71C2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t xml:space="preserve">Dichas empresas multinacionales han </w:t>
      </w:r>
      <w:r>
        <w:rPr>
          <w:rFonts w:ascii="Arial Narrow" w:hAnsi="Arial Narrow"/>
          <w:sz w:val="24"/>
          <w:szCs w:val="24"/>
        </w:rPr>
        <w:t xml:space="preserve">tenido que trasladar, cada vez </w:t>
      </w:r>
      <w:r w:rsidRPr="009B71C2">
        <w:rPr>
          <w:rFonts w:ascii="Arial Narrow" w:hAnsi="Arial Narrow"/>
          <w:sz w:val="24"/>
          <w:szCs w:val="24"/>
        </w:rPr>
        <w:t xml:space="preserve">con mayor frecuencia, centros de producción y distribución de bienes y servicios de un país a otro, a través de sus Empresas Vinculadas, </w:t>
      </w:r>
      <w:r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>dando origen al intercambio de bienes</w:t>
      </w:r>
      <w:r>
        <w:rPr>
          <w:rFonts w:ascii="Arial Narrow" w:hAnsi="Arial Narrow"/>
          <w:sz w:val="24"/>
          <w:szCs w:val="24"/>
        </w:rPr>
        <w:t xml:space="preserve"> y servicios entre las mismas, </w:t>
      </w:r>
      <w:r w:rsidRPr="009B71C2">
        <w:rPr>
          <w:rFonts w:ascii="Arial Narrow" w:hAnsi="Arial Narrow"/>
          <w:sz w:val="24"/>
          <w:szCs w:val="24"/>
        </w:rPr>
        <w:t xml:space="preserve">todo esto con el objeto de aprovechar las economías de escala y dividir las funciones entre dichas empresas de acuerdo con el mejor </w:t>
      </w:r>
      <w:r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>rendimiento de los recursos con que c</w:t>
      </w:r>
      <w:r>
        <w:rPr>
          <w:rFonts w:ascii="Arial Narrow" w:hAnsi="Arial Narrow"/>
          <w:sz w:val="24"/>
          <w:szCs w:val="24"/>
        </w:rPr>
        <w:t xml:space="preserve">uenta cada una de estas en sus  respectivos países. </w:t>
      </w:r>
    </w:p>
    <w:p w:rsidR="009B71C2" w:rsidRPr="009B71C2" w:rsidRDefault="009B71C2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t>El intercambio de todos estos bienes</w:t>
      </w:r>
      <w:r>
        <w:rPr>
          <w:rFonts w:ascii="Arial Narrow" w:hAnsi="Arial Narrow"/>
          <w:sz w:val="24"/>
          <w:szCs w:val="24"/>
        </w:rPr>
        <w:t xml:space="preserve"> y servicios entre empresas de  </w:t>
      </w:r>
      <w:r w:rsidRPr="009B71C2">
        <w:rPr>
          <w:rFonts w:ascii="Arial Narrow" w:hAnsi="Arial Narrow"/>
          <w:sz w:val="24"/>
          <w:szCs w:val="24"/>
        </w:rPr>
        <w:t xml:space="preserve">un mismo grupo multinacional, ha dado origen a la problemática de </w:t>
      </w:r>
      <w:r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determinar el precio óptimo de </w:t>
      </w:r>
      <w:r>
        <w:rPr>
          <w:rFonts w:ascii="Arial Narrow" w:hAnsi="Arial Narrow"/>
          <w:sz w:val="24"/>
          <w:szCs w:val="24"/>
        </w:rPr>
        <w:t xml:space="preserve">transferencia fijado entre las  </w:t>
      </w:r>
      <w:r w:rsidRPr="009B71C2">
        <w:rPr>
          <w:rFonts w:ascii="Arial Narrow" w:hAnsi="Arial Narrow"/>
          <w:sz w:val="24"/>
          <w:szCs w:val="24"/>
        </w:rPr>
        <w:t xml:space="preserve">mismas. </w:t>
      </w:r>
    </w:p>
    <w:p w:rsidR="009B71C2" w:rsidRPr="009B71C2" w:rsidRDefault="009B71C2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t>Esto trae consigo, para las autoridades fis</w:t>
      </w:r>
      <w:r>
        <w:rPr>
          <w:rFonts w:ascii="Arial Narrow" w:hAnsi="Arial Narrow"/>
          <w:sz w:val="24"/>
          <w:szCs w:val="24"/>
        </w:rPr>
        <w:t xml:space="preserve">cales de cada País, la tarea  </w:t>
      </w:r>
      <w:r w:rsidRPr="009B71C2">
        <w:rPr>
          <w:rFonts w:ascii="Arial Narrow" w:hAnsi="Arial Narrow"/>
          <w:sz w:val="24"/>
          <w:szCs w:val="24"/>
        </w:rPr>
        <w:t xml:space="preserve">de vigilar que dichas empresas paguen los impuestos en su </w:t>
      </w:r>
      <w:r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>jurisdicción fiscal, en una base</w:t>
      </w:r>
      <w:r>
        <w:rPr>
          <w:rFonts w:ascii="Arial Narrow" w:hAnsi="Arial Narrow"/>
          <w:sz w:val="24"/>
          <w:szCs w:val="24"/>
        </w:rPr>
        <w:t xml:space="preserve"> coherente con la utilidad que  </w:t>
      </w:r>
      <w:r w:rsidRPr="009B71C2">
        <w:rPr>
          <w:rFonts w:ascii="Arial Narrow" w:hAnsi="Arial Narrow"/>
          <w:sz w:val="24"/>
          <w:szCs w:val="24"/>
        </w:rPr>
        <w:t>obtendrían empresas independi</w:t>
      </w:r>
      <w:r>
        <w:rPr>
          <w:rFonts w:ascii="Arial Narrow" w:hAnsi="Arial Narrow"/>
          <w:sz w:val="24"/>
          <w:szCs w:val="24"/>
        </w:rPr>
        <w:t xml:space="preserve">entes en el mercado, ya que un  </w:t>
      </w:r>
      <w:r w:rsidRPr="009B71C2">
        <w:rPr>
          <w:rFonts w:ascii="Arial Narrow" w:hAnsi="Arial Narrow"/>
          <w:sz w:val="24"/>
          <w:szCs w:val="24"/>
        </w:rPr>
        <w:t xml:space="preserve">precio de transferencia puede ser afectado por consideraciones de </w:t>
      </w:r>
      <w:r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>planeación corporativa, y de</w:t>
      </w:r>
      <w:r>
        <w:rPr>
          <w:rFonts w:ascii="Arial Narrow" w:hAnsi="Arial Narrow"/>
          <w:sz w:val="24"/>
          <w:szCs w:val="24"/>
        </w:rPr>
        <w:t xml:space="preserve"> esta manera pudiera ser que no </w:t>
      </w:r>
      <w:r w:rsidRPr="009B71C2">
        <w:rPr>
          <w:rFonts w:ascii="Arial Narrow" w:hAnsi="Arial Narrow"/>
          <w:sz w:val="24"/>
          <w:szCs w:val="24"/>
        </w:rPr>
        <w:t xml:space="preserve">refleje </w:t>
      </w:r>
      <w:r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las fuerzas reales de mercado. </w:t>
      </w:r>
    </w:p>
    <w:p w:rsidR="009B71C2" w:rsidRDefault="009B71C2" w:rsidP="009B71C2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</w:p>
    <w:p w:rsidR="009B71C2" w:rsidRPr="009B71C2" w:rsidRDefault="009B71C2" w:rsidP="009B71C2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9B71C2">
        <w:rPr>
          <w:rFonts w:ascii="Arial Narrow" w:hAnsi="Arial Narrow"/>
          <w:b/>
          <w:sz w:val="24"/>
          <w:szCs w:val="24"/>
        </w:rPr>
        <w:t xml:space="preserve">Precio de Transferencia </w:t>
      </w:r>
    </w:p>
    <w:p w:rsidR="009B71C2" w:rsidRPr="009B71C2" w:rsidRDefault="009B71C2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t>“El precio pactado en la trans</w:t>
      </w:r>
      <w:r>
        <w:rPr>
          <w:rFonts w:ascii="Arial Narrow" w:hAnsi="Arial Narrow"/>
          <w:sz w:val="24"/>
          <w:szCs w:val="24"/>
        </w:rPr>
        <w:t xml:space="preserve">ferencia de bienes tangibles o  </w:t>
      </w:r>
      <w:r w:rsidRPr="009B71C2">
        <w:rPr>
          <w:rFonts w:ascii="Arial Narrow" w:hAnsi="Arial Narrow"/>
          <w:sz w:val="24"/>
          <w:szCs w:val="24"/>
        </w:rPr>
        <w:t xml:space="preserve">intangibles, prestación de servicios, o cualquier otra operación </w:t>
      </w:r>
      <w:r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realizada entre entidades o sujetos relacionados”. </w:t>
      </w:r>
    </w:p>
    <w:p w:rsidR="009B71C2" w:rsidRDefault="009B71C2" w:rsidP="009B71C2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</w:p>
    <w:p w:rsidR="009B71C2" w:rsidRDefault="009B71C2" w:rsidP="009B71C2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9B71C2">
        <w:rPr>
          <w:rFonts w:ascii="Arial Narrow" w:hAnsi="Arial Narrow"/>
          <w:b/>
          <w:sz w:val="24"/>
          <w:szCs w:val="24"/>
        </w:rPr>
        <w:t xml:space="preserve">Principio de Libre Competencia </w:t>
      </w:r>
    </w:p>
    <w:p w:rsidR="009B71C2" w:rsidRDefault="009B71C2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t xml:space="preserve">Este principio considera que “el precio, la utilidad o beneficio que </w:t>
      </w:r>
      <w:r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se obtenga en una transacción entre entidades o sujetos </w:t>
      </w:r>
      <w:r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relacionados (Operación vinculada) debe ser el precio, utilidad o </w:t>
      </w:r>
      <w:r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beneficio que se </w:t>
      </w:r>
      <w:r w:rsidRPr="009B71C2">
        <w:rPr>
          <w:rFonts w:ascii="Arial Narrow" w:hAnsi="Arial Narrow"/>
          <w:sz w:val="24"/>
          <w:szCs w:val="24"/>
        </w:rPr>
        <w:lastRenderedPageBreak/>
        <w:t xml:space="preserve">hubiera obtenido en una transacción comparable </w:t>
      </w:r>
      <w:r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entre entidades o sujetos independientes (Operación no </w:t>
      </w:r>
      <w:r>
        <w:rPr>
          <w:rFonts w:ascii="Arial Narrow" w:hAnsi="Arial Narrow"/>
          <w:sz w:val="24"/>
          <w:szCs w:val="24"/>
        </w:rPr>
        <w:t xml:space="preserve"> Vinculada)”. </w:t>
      </w:r>
    </w:p>
    <w:p w:rsidR="009B71C2" w:rsidRDefault="009B71C2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t>Los precios de transferencia pueden v</w:t>
      </w:r>
      <w:r>
        <w:rPr>
          <w:rFonts w:ascii="Arial Narrow" w:hAnsi="Arial Narrow"/>
          <w:sz w:val="24"/>
          <w:szCs w:val="24"/>
        </w:rPr>
        <w:t xml:space="preserve">isualizarse bajo dos enfoques: </w:t>
      </w:r>
    </w:p>
    <w:p w:rsidR="009B71C2" w:rsidRDefault="009B71C2" w:rsidP="009B71C2">
      <w:pPr>
        <w:pStyle w:val="Prrafodelista"/>
        <w:numPr>
          <w:ilvl w:val="0"/>
          <w:numId w:val="2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t>Para los grandes grupos multina</w:t>
      </w:r>
      <w:r w:rsidRPr="009B71C2">
        <w:rPr>
          <w:rFonts w:ascii="Arial Narrow" w:hAnsi="Arial Narrow"/>
          <w:sz w:val="24"/>
          <w:szCs w:val="24"/>
        </w:rPr>
        <w:t xml:space="preserve">cionales el objetivo es buscar  </w:t>
      </w:r>
      <w:r w:rsidRPr="009B71C2">
        <w:rPr>
          <w:rFonts w:ascii="Arial Narrow" w:hAnsi="Arial Narrow"/>
          <w:sz w:val="24"/>
          <w:szCs w:val="24"/>
        </w:rPr>
        <w:t xml:space="preserve">territorios, jurisdicciones o países en donde puedan cumplir sus </w:t>
      </w:r>
      <w:r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obligaciones fiscales con tasas reducidas, con bases gravables </w:t>
      </w:r>
      <w:r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sumamente limitadas y de ser posible, con la </w:t>
      </w:r>
      <w:r w:rsidRPr="009B71C2">
        <w:rPr>
          <w:rFonts w:ascii="Arial Narrow" w:hAnsi="Arial Narrow"/>
          <w:sz w:val="24"/>
          <w:szCs w:val="24"/>
        </w:rPr>
        <w:t>más</w:t>
      </w:r>
      <w:r w:rsidRPr="009B71C2">
        <w:rPr>
          <w:rFonts w:ascii="Arial Narrow" w:hAnsi="Arial Narrow"/>
          <w:sz w:val="24"/>
          <w:szCs w:val="24"/>
        </w:rPr>
        <w:t xml:space="preserve"> baja precisión </w:t>
      </w:r>
      <w:r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fiscal, optimizando así sus utilidades. </w:t>
      </w:r>
    </w:p>
    <w:p w:rsidR="00AE2D2A" w:rsidRDefault="00AE2D2A" w:rsidP="00AE2D2A">
      <w:pPr>
        <w:pStyle w:val="Prrafodelista"/>
        <w:spacing w:line="360" w:lineRule="auto"/>
        <w:ind w:left="284"/>
        <w:jc w:val="both"/>
        <w:rPr>
          <w:rFonts w:ascii="Arial Narrow" w:hAnsi="Arial Narrow"/>
          <w:sz w:val="24"/>
          <w:szCs w:val="24"/>
        </w:rPr>
      </w:pPr>
    </w:p>
    <w:p w:rsidR="009B71C2" w:rsidRPr="009B71C2" w:rsidRDefault="009B71C2" w:rsidP="009B71C2">
      <w:pPr>
        <w:pStyle w:val="Prrafodelista"/>
        <w:numPr>
          <w:ilvl w:val="0"/>
          <w:numId w:val="2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t xml:space="preserve">Por su cuenta las administraciones tributarias de cada uno de los </w:t>
      </w:r>
      <w:r w:rsidRPr="009B71C2"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países del mundo desean gravar la riqueza generada por los sujetos </w:t>
      </w:r>
      <w:r w:rsidRPr="009B71C2"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que se encuentran bajo su soberanía fiscal con el objeto que </w:t>
      </w:r>
      <w:r w:rsidRPr="009B71C2"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paguen el impuesto que hubiera correspondido, en operaciones </w:t>
      </w:r>
      <w:r w:rsidRPr="009B71C2"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realizadas en un mercado abierto, fuera de cualquier manipulación posible. </w:t>
      </w:r>
    </w:p>
    <w:p w:rsidR="009B71C2" w:rsidRDefault="009B71C2" w:rsidP="009B71C2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OCDE </w:t>
      </w:r>
    </w:p>
    <w:p w:rsidR="009B71C2" w:rsidRDefault="009B71C2" w:rsidP="009B71C2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t xml:space="preserve">Al tratarse el tema del marco legal de precios de transferencia 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en el ámbito internacional, la referencia indica claramente los 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>documentos emitidos por la Organi</w:t>
      </w:r>
      <w:r>
        <w:rPr>
          <w:rFonts w:ascii="Arial Narrow" w:hAnsi="Arial Narrow"/>
          <w:sz w:val="24"/>
          <w:szCs w:val="24"/>
        </w:rPr>
        <w:t xml:space="preserve">zación para la Cooperación y el </w:t>
      </w:r>
      <w:r w:rsidRPr="009B71C2">
        <w:rPr>
          <w:rFonts w:ascii="Arial Narrow" w:hAnsi="Arial Narrow"/>
          <w:sz w:val="24"/>
          <w:szCs w:val="24"/>
        </w:rPr>
        <w:t xml:space="preserve">Desarrollo Económico (OCDE), los cuales sientan una base para las 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legislaciones </w:t>
      </w:r>
      <w:r w:rsidRPr="009B71C2">
        <w:rPr>
          <w:rFonts w:ascii="Arial Narrow" w:hAnsi="Arial Narrow"/>
          <w:sz w:val="24"/>
          <w:szCs w:val="24"/>
        </w:rPr>
        <w:t>específicas</w:t>
      </w:r>
      <w:r w:rsidRPr="009B71C2">
        <w:rPr>
          <w:rFonts w:ascii="Arial Narrow" w:hAnsi="Arial Narrow"/>
          <w:sz w:val="24"/>
          <w:szCs w:val="24"/>
        </w:rPr>
        <w:t xml:space="preserve"> de diversos países, tanto en aquéllos 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que pertenecen a la OCDE, como en aquéllos que no. </w:t>
      </w:r>
      <w:r>
        <w:rPr>
          <w:rFonts w:ascii="Arial Narrow" w:hAnsi="Arial Narrow"/>
          <w:b/>
          <w:sz w:val="24"/>
          <w:szCs w:val="24"/>
        </w:rPr>
        <w:t xml:space="preserve"> </w:t>
      </w:r>
    </w:p>
    <w:p w:rsidR="009B71C2" w:rsidRDefault="009B71C2" w:rsidP="009B71C2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</w:p>
    <w:p w:rsidR="009B71C2" w:rsidRPr="009B71C2" w:rsidRDefault="009B71C2" w:rsidP="009B71C2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9B71C2">
        <w:rPr>
          <w:rFonts w:ascii="Arial Narrow" w:hAnsi="Arial Narrow"/>
          <w:b/>
          <w:sz w:val="24"/>
          <w:szCs w:val="24"/>
        </w:rPr>
        <w:t xml:space="preserve">Normas Internacionales de Precios de Transferencia </w:t>
      </w:r>
    </w:p>
    <w:p w:rsidR="009B71C2" w:rsidRPr="009B71C2" w:rsidRDefault="009B71C2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t xml:space="preserve">Estos documentos comprenden: </w:t>
      </w:r>
    </w:p>
    <w:p w:rsidR="009B71C2" w:rsidRDefault="009B71C2" w:rsidP="009B71C2">
      <w:pPr>
        <w:pStyle w:val="Prrafodelista"/>
        <w:numPr>
          <w:ilvl w:val="0"/>
          <w:numId w:val="3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t>Modelo de Convenio Fisc</w:t>
      </w:r>
      <w:r w:rsidRPr="009B71C2">
        <w:rPr>
          <w:rFonts w:ascii="Arial Narrow" w:hAnsi="Arial Narrow"/>
          <w:sz w:val="24"/>
          <w:szCs w:val="24"/>
        </w:rPr>
        <w:t xml:space="preserve">al: contiene algunos conceptos  </w:t>
      </w:r>
      <w:r w:rsidRPr="009B71C2">
        <w:rPr>
          <w:rFonts w:ascii="Arial Narrow" w:hAnsi="Arial Narrow"/>
          <w:sz w:val="24"/>
          <w:szCs w:val="24"/>
        </w:rPr>
        <w:t>trascendentes en materia d</w:t>
      </w:r>
      <w:r w:rsidRPr="009B71C2">
        <w:rPr>
          <w:rFonts w:ascii="Arial Narrow" w:hAnsi="Arial Narrow"/>
          <w:sz w:val="24"/>
          <w:szCs w:val="24"/>
        </w:rPr>
        <w:t xml:space="preserve">e Precios de Transferencia, en  </w:t>
      </w:r>
      <w:r w:rsidRPr="009B71C2">
        <w:rPr>
          <w:rFonts w:ascii="Arial Narrow" w:hAnsi="Arial Narrow"/>
          <w:sz w:val="24"/>
          <w:szCs w:val="24"/>
        </w:rPr>
        <w:t xml:space="preserve">especial el artículo noveno dedicado específicamente a las </w:t>
      </w:r>
      <w:r w:rsidRPr="009B71C2"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operaciones entre partes relacionadas. </w:t>
      </w:r>
    </w:p>
    <w:p w:rsidR="009B71C2" w:rsidRDefault="009B71C2" w:rsidP="009B71C2">
      <w:pPr>
        <w:pStyle w:val="Prrafodelista"/>
        <w:numPr>
          <w:ilvl w:val="0"/>
          <w:numId w:val="3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t xml:space="preserve">Directrices aplicables en materia de Precios de </w:t>
      </w:r>
      <w:r w:rsidRPr="009B71C2"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Transferencia a Empresas Multinacionales y </w:t>
      </w:r>
      <w:r w:rsidRPr="009B71C2"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Administraciones Tributarias: analizan detalladamente el </w:t>
      </w:r>
      <w:r w:rsidRPr="009B71C2"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principio de plena competencia (Principio </w:t>
      </w:r>
      <w:proofErr w:type="spellStart"/>
      <w:r w:rsidRPr="009B71C2">
        <w:rPr>
          <w:rFonts w:ascii="Arial Narrow" w:hAnsi="Arial Narrow"/>
          <w:sz w:val="24"/>
          <w:szCs w:val="24"/>
        </w:rPr>
        <w:t>Arm’s</w:t>
      </w:r>
      <w:proofErr w:type="spellEnd"/>
      <w:r w:rsidRPr="009B71C2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9B71C2">
        <w:rPr>
          <w:rFonts w:ascii="Arial Narrow" w:hAnsi="Arial Narrow"/>
          <w:sz w:val="24"/>
          <w:szCs w:val="24"/>
        </w:rPr>
        <w:t>Length</w:t>
      </w:r>
      <w:proofErr w:type="spellEnd"/>
      <w:r w:rsidRPr="009B71C2">
        <w:rPr>
          <w:rFonts w:ascii="Arial Narrow" w:hAnsi="Arial Narrow"/>
          <w:sz w:val="24"/>
          <w:szCs w:val="24"/>
        </w:rPr>
        <w:t xml:space="preserve">) especificado en el artículo 9 del Modelo Convenio y </w:t>
      </w:r>
      <w:r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establecen los procedimientos, metodología y otros </w:t>
      </w:r>
      <w:r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conceptos relacionados a los Precios de Transferencia. </w:t>
      </w:r>
    </w:p>
    <w:p w:rsidR="009B71C2" w:rsidRPr="009B71C2" w:rsidRDefault="009B71C2" w:rsidP="009B71C2">
      <w:pPr>
        <w:pStyle w:val="Prrafodelista"/>
        <w:numPr>
          <w:ilvl w:val="0"/>
          <w:numId w:val="3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lastRenderedPageBreak/>
        <w:t xml:space="preserve">Propuesta de Legislación </w:t>
      </w:r>
      <w:proofErr w:type="spellStart"/>
      <w:r w:rsidRPr="009B71C2">
        <w:rPr>
          <w:rFonts w:ascii="Arial Narrow" w:hAnsi="Arial Narrow"/>
          <w:sz w:val="24"/>
          <w:szCs w:val="24"/>
        </w:rPr>
        <w:t>Pt´s</w:t>
      </w:r>
      <w:proofErr w:type="spellEnd"/>
      <w:r w:rsidRPr="009B71C2">
        <w:rPr>
          <w:rFonts w:ascii="Arial Narrow" w:hAnsi="Arial Narrow"/>
          <w:sz w:val="24"/>
          <w:szCs w:val="24"/>
        </w:rPr>
        <w:t xml:space="preserve">: comprende una propuesta </w:t>
      </w:r>
      <w:r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de normativa de precios de transferencia en cuanto a su </w:t>
      </w:r>
      <w:r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estructura y contenido. </w:t>
      </w:r>
    </w:p>
    <w:p w:rsidR="009B71C2" w:rsidRPr="009B71C2" w:rsidRDefault="009B71C2" w:rsidP="009B71C2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9B71C2">
        <w:rPr>
          <w:rFonts w:ascii="Arial Narrow" w:hAnsi="Arial Narrow"/>
          <w:b/>
          <w:sz w:val="24"/>
          <w:szCs w:val="24"/>
        </w:rPr>
        <w:t xml:space="preserve">UNION EUROPEA </w:t>
      </w:r>
    </w:p>
    <w:p w:rsidR="009B71C2" w:rsidRPr="009B71C2" w:rsidRDefault="009B71C2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t>El Foro conjunto de la Unión Europea sobre</w:t>
      </w:r>
      <w:r>
        <w:rPr>
          <w:rFonts w:ascii="Arial Narrow" w:hAnsi="Arial Narrow"/>
          <w:sz w:val="24"/>
          <w:szCs w:val="24"/>
        </w:rPr>
        <w:t xml:space="preserve"> los precios de transferencia,  </w:t>
      </w:r>
      <w:r w:rsidRPr="009B71C2">
        <w:rPr>
          <w:rFonts w:ascii="Arial Narrow" w:hAnsi="Arial Narrow"/>
          <w:sz w:val="24"/>
          <w:szCs w:val="24"/>
        </w:rPr>
        <w:t xml:space="preserve">emitió el 27 de junio de 2006, </w:t>
      </w:r>
      <w:r>
        <w:rPr>
          <w:rFonts w:ascii="Arial Narrow" w:hAnsi="Arial Narrow"/>
          <w:sz w:val="24"/>
          <w:szCs w:val="24"/>
        </w:rPr>
        <w:t xml:space="preserve">un Código de Conducta sobre la  </w:t>
      </w:r>
      <w:r w:rsidRPr="009B71C2">
        <w:rPr>
          <w:rFonts w:ascii="Arial Narrow" w:hAnsi="Arial Narrow"/>
          <w:sz w:val="24"/>
          <w:szCs w:val="24"/>
        </w:rPr>
        <w:t xml:space="preserve">documentación relacionada con los precios de transferencia, la cual </w:t>
      </w:r>
      <w:r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>comprende una documentación armonizada y parcialm</w:t>
      </w:r>
      <w:r>
        <w:rPr>
          <w:rFonts w:ascii="Arial Narrow" w:hAnsi="Arial Narrow"/>
          <w:sz w:val="24"/>
          <w:szCs w:val="24"/>
        </w:rPr>
        <w:t xml:space="preserve">ente centralizada  </w:t>
      </w:r>
      <w:r w:rsidRPr="009B71C2">
        <w:rPr>
          <w:rFonts w:ascii="Arial Narrow" w:hAnsi="Arial Narrow"/>
          <w:sz w:val="24"/>
          <w:szCs w:val="24"/>
        </w:rPr>
        <w:t xml:space="preserve">sobre precios de transferencia para las empresas asociadas de la Unión </w:t>
      </w:r>
      <w:r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Europea. </w:t>
      </w:r>
    </w:p>
    <w:p w:rsidR="009B71C2" w:rsidRPr="009B71C2" w:rsidRDefault="009B71C2" w:rsidP="009B71C2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9B71C2">
        <w:rPr>
          <w:rFonts w:ascii="Arial Narrow" w:hAnsi="Arial Narrow"/>
          <w:b/>
          <w:sz w:val="24"/>
          <w:szCs w:val="24"/>
        </w:rPr>
        <w:t xml:space="preserve">CENTROAMERICA </w:t>
      </w:r>
    </w:p>
    <w:p w:rsidR="009B71C2" w:rsidRPr="009B71C2" w:rsidRDefault="009B71C2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t xml:space="preserve"> A nivel centroamericano se cuenta con: </w:t>
      </w:r>
    </w:p>
    <w:p w:rsidR="004033A1" w:rsidRDefault="009B71C2" w:rsidP="009B71C2">
      <w:pPr>
        <w:pStyle w:val="Prrafodelista"/>
        <w:numPr>
          <w:ilvl w:val="0"/>
          <w:numId w:val="4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4033A1">
        <w:rPr>
          <w:rFonts w:ascii="Arial Narrow" w:hAnsi="Arial Narrow"/>
          <w:sz w:val="24"/>
          <w:szCs w:val="24"/>
        </w:rPr>
        <w:t xml:space="preserve">Modelo de Ley sobre precios de transferencia elaborado el 21 de febrero </w:t>
      </w:r>
      <w:r w:rsidR="004033A1" w:rsidRPr="004033A1">
        <w:rPr>
          <w:rFonts w:ascii="Arial Narrow" w:hAnsi="Arial Narrow"/>
          <w:sz w:val="24"/>
          <w:szCs w:val="24"/>
        </w:rPr>
        <w:t xml:space="preserve">  </w:t>
      </w:r>
      <w:r w:rsidRPr="004033A1">
        <w:rPr>
          <w:rFonts w:ascii="Arial Narrow" w:hAnsi="Arial Narrow"/>
          <w:sz w:val="24"/>
          <w:szCs w:val="24"/>
        </w:rPr>
        <w:t xml:space="preserve">de 2007, en la XI Reunión del Comité de Ministros de Hacienda o </w:t>
      </w:r>
      <w:r w:rsidR="004033A1" w:rsidRP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Finanzas de Centroamérica, Panamá y República Dominicana, celebrada </w:t>
      </w:r>
      <w:r w:rsid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en San José, Costa Rica. </w:t>
      </w:r>
    </w:p>
    <w:p w:rsidR="009B71C2" w:rsidRPr="004033A1" w:rsidRDefault="009B71C2" w:rsidP="009B71C2">
      <w:pPr>
        <w:pStyle w:val="Prrafodelista"/>
        <w:numPr>
          <w:ilvl w:val="0"/>
          <w:numId w:val="4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4033A1">
        <w:rPr>
          <w:rFonts w:ascii="Arial Narrow" w:hAnsi="Arial Narrow"/>
          <w:sz w:val="24"/>
          <w:szCs w:val="24"/>
        </w:rPr>
        <w:t xml:space="preserve">Modelo de Convenio para evitar la doble imposición, para </w:t>
      </w:r>
      <w:r w:rsid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Centroamérica y República Dominicana. </w:t>
      </w:r>
    </w:p>
    <w:p w:rsidR="004033A1" w:rsidRDefault="004033A1" w:rsidP="009B71C2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</w:p>
    <w:p w:rsidR="009B71C2" w:rsidRPr="004033A1" w:rsidRDefault="009B71C2" w:rsidP="009B71C2">
      <w:pPr>
        <w:spacing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4033A1">
        <w:rPr>
          <w:rFonts w:ascii="Arial Narrow" w:hAnsi="Arial Narrow"/>
          <w:b/>
          <w:sz w:val="24"/>
          <w:szCs w:val="24"/>
        </w:rPr>
        <w:t xml:space="preserve">REGULACION DE </w:t>
      </w:r>
      <w:r w:rsidR="004033A1" w:rsidRPr="004033A1">
        <w:rPr>
          <w:rFonts w:ascii="Arial Narrow" w:hAnsi="Arial Narrow"/>
          <w:b/>
          <w:sz w:val="24"/>
          <w:szCs w:val="24"/>
        </w:rPr>
        <w:t xml:space="preserve">PRECIOS DE  </w:t>
      </w:r>
      <w:r w:rsidRPr="004033A1">
        <w:rPr>
          <w:rFonts w:ascii="Arial Narrow" w:hAnsi="Arial Narrow"/>
          <w:b/>
          <w:sz w:val="24"/>
          <w:szCs w:val="24"/>
        </w:rPr>
        <w:t xml:space="preserve">TRANSFERENCIA EN EL SALVADOR </w:t>
      </w:r>
    </w:p>
    <w:p w:rsidR="009B71C2" w:rsidRPr="004033A1" w:rsidRDefault="009B71C2" w:rsidP="009B71C2">
      <w:pPr>
        <w:spacing w:line="360" w:lineRule="auto"/>
        <w:jc w:val="both"/>
        <w:rPr>
          <w:rFonts w:ascii="Arial Narrow" w:hAnsi="Arial Narrow"/>
          <w:b/>
          <w:i/>
          <w:sz w:val="24"/>
          <w:szCs w:val="24"/>
        </w:rPr>
      </w:pPr>
      <w:r w:rsidRPr="004033A1">
        <w:rPr>
          <w:rFonts w:ascii="Arial Narrow" w:hAnsi="Arial Narrow"/>
          <w:b/>
          <w:i/>
          <w:sz w:val="24"/>
          <w:szCs w:val="24"/>
        </w:rPr>
        <w:t xml:space="preserve">Normativa Legal </w:t>
      </w:r>
    </w:p>
    <w:p w:rsidR="009B71C2" w:rsidRPr="004033A1" w:rsidRDefault="004033A1" w:rsidP="009B71C2">
      <w:pPr>
        <w:spacing w:line="360" w:lineRule="auto"/>
        <w:jc w:val="both"/>
        <w:rPr>
          <w:rFonts w:ascii="Arial Narrow" w:hAnsi="Arial Narrow"/>
          <w:sz w:val="24"/>
          <w:szCs w:val="24"/>
          <w:u w:val="single"/>
        </w:rPr>
      </w:pPr>
      <w:r w:rsidRPr="004033A1">
        <w:rPr>
          <w:rFonts w:ascii="Arial Narrow" w:hAnsi="Arial Narrow"/>
          <w:sz w:val="24"/>
          <w:szCs w:val="24"/>
          <w:u w:val="single"/>
        </w:rPr>
        <w:t xml:space="preserve">Determinación de Precios  </w:t>
      </w:r>
      <w:r w:rsidR="009B71C2" w:rsidRPr="004033A1">
        <w:rPr>
          <w:rFonts w:ascii="Arial Narrow" w:hAnsi="Arial Narrow"/>
          <w:sz w:val="24"/>
          <w:szCs w:val="24"/>
          <w:u w:val="single"/>
        </w:rPr>
        <w:t xml:space="preserve">Artículo 62-A del C.T. </w:t>
      </w:r>
    </w:p>
    <w:p w:rsidR="009B71C2" w:rsidRPr="009B71C2" w:rsidRDefault="009B71C2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t>Para efectos tributarios, los contribuy</w:t>
      </w:r>
      <w:r w:rsidR="004033A1">
        <w:rPr>
          <w:rFonts w:ascii="Arial Narrow" w:hAnsi="Arial Narrow"/>
          <w:sz w:val="24"/>
          <w:szCs w:val="24"/>
        </w:rPr>
        <w:t xml:space="preserve">entes que celebren operaciones  </w:t>
      </w:r>
      <w:r w:rsidRPr="009B71C2">
        <w:rPr>
          <w:rFonts w:ascii="Arial Narrow" w:hAnsi="Arial Narrow"/>
          <w:sz w:val="24"/>
          <w:szCs w:val="24"/>
        </w:rPr>
        <w:t xml:space="preserve">o transacciones con sujetos relacionados, estarán obligados a </w:t>
      </w:r>
      <w:r w:rsidR="004033A1"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>determinar los precios y mon</w:t>
      </w:r>
      <w:r w:rsidR="004033A1">
        <w:rPr>
          <w:rFonts w:ascii="Arial Narrow" w:hAnsi="Arial Narrow"/>
          <w:sz w:val="24"/>
          <w:szCs w:val="24"/>
        </w:rPr>
        <w:t xml:space="preserve">tos de las contraprestaciones,  </w:t>
      </w:r>
      <w:r w:rsidRPr="009B71C2">
        <w:rPr>
          <w:rFonts w:ascii="Arial Narrow" w:hAnsi="Arial Narrow"/>
          <w:sz w:val="24"/>
          <w:szCs w:val="24"/>
        </w:rPr>
        <w:t>considerando para esas oper</w:t>
      </w:r>
      <w:r w:rsidR="004033A1">
        <w:rPr>
          <w:rFonts w:ascii="Arial Narrow" w:hAnsi="Arial Narrow"/>
          <w:sz w:val="24"/>
          <w:szCs w:val="24"/>
        </w:rPr>
        <w:t xml:space="preserve">aciones los precios de mercado  </w:t>
      </w:r>
      <w:r w:rsidRPr="009B71C2">
        <w:rPr>
          <w:rFonts w:ascii="Arial Narrow" w:hAnsi="Arial Narrow"/>
          <w:sz w:val="24"/>
          <w:szCs w:val="24"/>
        </w:rPr>
        <w:t>utilizados en transferencias de bienes o</w:t>
      </w:r>
      <w:r w:rsidR="004033A1">
        <w:rPr>
          <w:rFonts w:ascii="Arial Narrow" w:hAnsi="Arial Narrow"/>
          <w:sz w:val="24"/>
          <w:szCs w:val="24"/>
        </w:rPr>
        <w:t xml:space="preserve"> prestación de servicios de la  </w:t>
      </w:r>
      <w:r w:rsidRPr="009B71C2">
        <w:rPr>
          <w:rFonts w:ascii="Arial Narrow" w:hAnsi="Arial Narrow"/>
          <w:sz w:val="24"/>
          <w:szCs w:val="24"/>
        </w:rPr>
        <w:t xml:space="preserve">misma especie, entre sujetos </w:t>
      </w:r>
      <w:r w:rsidR="004033A1">
        <w:rPr>
          <w:rFonts w:ascii="Arial Narrow" w:hAnsi="Arial Narrow"/>
          <w:sz w:val="24"/>
          <w:szCs w:val="24"/>
        </w:rPr>
        <w:t xml:space="preserve">independientes. Igualmente los  </w:t>
      </w:r>
      <w:r w:rsidRPr="009B71C2">
        <w:rPr>
          <w:rFonts w:ascii="Arial Narrow" w:hAnsi="Arial Narrow"/>
          <w:sz w:val="24"/>
          <w:szCs w:val="24"/>
        </w:rPr>
        <w:t>contribuyentes deberán deter</w:t>
      </w:r>
      <w:r w:rsidR="004033A1">
        <w:rPr>
          <w:rFonts w:ascii="Arial Narrow" w:hAnsi="Arial Narrow"/>
          <w:sz w:val="24"/>
          <w:szCs w:val="24"/>
        </w:rPr>
        <w:t xml:space="preserve">minar a precios de mercado las  </w:t>
      </w:r>
      <w:r w:rsidRPr="009B71C2">
        <w:rPr>
          <w:rFonts w:ascii="Arial Narrow" w:hAnsi="Arial Narrow"/>
          <w:sz w:val="24"/>
          <w:szCs w:val="24"/>
        </w:rPr>
        <w:t>operaciones o transaccion</w:t>
      </w:r>
      <w:r w:rsidR="004033A1">
        <w:rPr>
          <w:rFonts w:ascii="Arial Narrow" w:hAnsi="Arial Narrow"/>
          <w:sz w:val="24"/>
          <w:szCs w:val="24"/>
        </w:rPr>
        <w:t xml:space="preserve">es que se celebren con sujetos  </w:t>
      </w:r>
      <w:r w:rsidRPr="009B71C2">
        <w:rPr>
          <w:rFonts w:ascii="Arial Narrow" w:hAnsi="Arial Narrow"/>
          <w:sz w:val="24"/>
          <w:szCs w:val="24"/>
        </w:rPr>
        <w:t>domiciliados, constituidos o ubicados en</w:t>
      </w:r>
      <w:r w:rsidR="004033A1">
        <w:rPr>
          <w:rFonts w:ascii="Arial Narrow" w:hAnsi="Arial Narrow"/>
          <w:sz w:val="24"/>
          <w:szCs w:val="24"/>
        </w:rPr>
        <w:t xml:space="preserve"> países, estados o territorios  </w:t>
      </w:r>
      <w:r w:rsidRPr="009B71C2">
        <w:rPr>
          <w:rFonts w:ascii="Arial Narrow" w:hAnsi="Arial Narrow"/>
          <w:sz w:val="24"/>
          <w:szCs w:val="24"/>
        </w:rPr>
        <w:t>con regímenes fiscales preferentes</w:t>
      </w:r>
      <w:r w:rsidR="004033A1">
        <w:rPr>
          <w:rFonts w:ascii="Arial Narrow" w:hAnsi="Arial Narrow"/>
          <w:sz w:val="24"/>
          <w:szCs w:val="24"/>
        </w:rPr>
        <w:t xml:space="preserve">, de baja o nula tributación o  </w:t>
      </w:r>
      <w:r w:rsidRPr="009B71C2">
        <w:rPr>
          <w:rFonts w:ascii="Arial Narrow" w:hAnsi="Arial Narrow"/>
          <w:sz w:val="24"/>
          <w:szCs w:val="24"/>
        </w:rPr>
        <w:t xml:space="preserve">paraísos fiscales. </w:t>
      </w:r>
    </w:p>
    <w:p w:rsidR="004033A1" w:rsidRDefault="004033A1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9B71C2" w:rsidRPr="009B71C2" w:rsidRDefault="009B71C2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lastRenderedPageBreak/>
        <w:t>Cuando los contribuyentes incumplan las oblig</w:t>
      </w:r>
      <w:r w:rsidR="004033A1">
        <w:rPr>
          <w:rFonts w:ascii="Arial Narrow" w:hAnsi="Arial Narrow"/>
          <w:sz w:val="24"/>
          <w:szCs w:val="24"/>
        </w:rPr>
        <w:t xml:space="preserve">aciones reguladas en el inciso  </w:t>
      </w:r>
      <w:r w:rsidRPr="009B71C2">
        <w:rPr>
          <w:rFonts w:ascii="Arial Narrow" w:hAnsi="Arial Narrow"/>
          <w:sz w:val="24"/>
          <w:szCs w:val="24"/>
        </w:rPr>
        <w:t>anterior, la Administración Tributaria de confo</w:t>
      </w:r>
      <w:r w:rsidR="004033A1">
        <w:rPr>
          <w:rFonts w:ascii="Arial Narrow" w:hAnsi="Arial Narrow"/>
          <w:sz w:val="24"/>
          <w:szCs w:val="24"/>
        </w:rPr>
        <w:t xml:space="preserve">rmidad con lo dispuesto en los  </w:t>
      </w:r>
      <w:r w:rsidRPr="009B71C2">
        <w:rPr>
          <w:rFonts w:ascii="Arial Narrow" w:hAnsi="Arial Narrow"/>
          <w:sz w:val="24"/>
          <w:szCs w:val="24"/>
        </w:rPr>
        <w:t xml:space="preserve">artículos 199-A, 199-B, 199-C y 199-D de este Código, determinará el valor de </w:t>
      </w:r>
      <w:r w:rsidR="004033A1"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dichas operaciones o transacciones, estableciendo el precio o monto de la </w:t>
      </w:r>
      <w:r w:rsidR="004033A1"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>contraprestación, considerando para esas oper</w:t>
      </w:r>
      <w:r w:rsidR="004033A1">
        <w:rPr>
          <w:rFonts w:ascii="Arial Narrow" w:hAnsi="Arial Narrow"/>
          <w:sz w:val="24"/>
          <w:szCs w:val="24"/>
        </w:rPr>
        <w:t xml:space="preserve">aciones los precios de mercado  </w:t>
      </w:r>
      <w:r w:rsidRPr="009B71C2">
        <w:rPr>
          <w:rFonts w:ascii="Arial Narrow" w:hAnsi="Arial Narrow"/>
          <w:sz w:val="24"/>
          <w:szCs w:val="24"/>
        </w:rPr>
        <w:t>utilizados en transferencias de bienes o prest</w:t>
      </w:r>
      <w:r w:rsidR="004033A1">
        <w:rPr>
          <w:rFonts w:ascii="Arial Narrow" w:hAnsi="Arial Narrow"/>
          <w:sz w:val="24"/>
          <w:szCs w:val="24"/>
        </w:rPr>
        <w:t xml:space="preserve">ación de servicios de la misma  </w:t>
      </w:r>
      <w:r w:rsidRPr="009B71C2">
        <w:rPr>
          <w:rFonts w:ascii="Arial Narrow" w:hAnsi="Arial Narrow"/>
          <w:sz w:val="24"/>
          <w:szCs w:val="24"/>
        </w:rPr>
        <w:t xml:space="preserve">especie, entre sujetos independientes. </w:t>
      </w:r>
    </w:p>
    <w:p w:rsidR="004033A1" w:rsidRDefault="004033A1" w:rsidP="009B71C2">
      <w:pPr>
        <w:spacing w:line="360" w:lineRule="auto"/>
        <w:jc w:val="both"/>
        <w:rPr>
          <w:rFonts w:ascii="Arial Narrow" w:hAnsi="Arial Narrow"/>
          <w:sz w:val="24"/>
          <w:szCs w:val="24"/>
          <w:u w:val="single"/>
        </w:rPr>
      </w:pPr>
    </w:p>
    <w:p w:rsidR="009B71C2" w:rsidRPr="004033A1" w:rsidRDefault="009B71C2" w:rsidP="009B71C2">
      <w:pPr>
        <w:spacing w:line="360" w:lineRule="auto"/>
        <w:jc w:val="both"/>
        <w:rPr>
          <w:rFonts w:ascii="Arial Narrow" w:hAnsi="Arial Narrow"/>
          <w:sz w:val="24"/>
          <w:szCs w:val="24"/>
          <w:u w:val="single"/>
        </w:rPr>
      </w:pPr>
      <w:r w:rsidRPr="004033A1">
        <w:rPr>
          <w:rFonts w:ascii="Arial Narrow" w:hAnsi="Arial Narrow"/>
          <w:sz w:val="24"/>
          <w:szCs w:val="24"/>
          <w:u w:val="single"/>
        </w:rPr>
        <w:t xml:space="preserve">Estimación de la Base Imponible </w:t>
      </w:r>
    </w:p>
    <w:p w:rsidR="009B71C2" w:rsidRPr="009B71C2" w:rsidRDefault="004033A1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Artículo 199-A del C.T. </w:t>
      </w:r>
      <w:r w:rsidR="009B71C2" w:rsidRPr="009B71C2">
        <w:rPr>
          <w:rFonts w:ascii="Arial Narrow" w:hAnsi="Arial Narrow"/>
          <w:sz w:val="24"/>
          <w:szCs w:val="24"/>
        </w:rPr>
        <w:t>Se faculta a la Administración Tributaria para</w:t>
      </w:r>
      <w:r>
        <w:rPr>
          <w:rFonts w:ascii="Arial Narrow" w:hAnsi="Arial Narrow"/>
          <w:sz w:val="24"/>
          <w:szCs w:val="24"/>
        </w:rPr>
        <w:t>:</w:t>
      </w:r>
      <w:r w:rsidR="009B71C2" w:rsidRPr="009B71C2">
        <w:rPr>
          <w:rFonts w:ascii="Arial Narrow" w:hAnsi="Arial Narrow"/>
          <w:sz w:val="24"/>
          <w:szCs w:val="24"/>
        </w:rPr>
        <w:t xml:space="preserve"> </w:t>
      </w:r>
    </w:p>
    <w:p w:rsidR="004033A1" w:rsidRDefault="009B71C2" w:rsidP="009B71C2">
      <w:pPr>
        <w:pStyle w:val="Prrafodelista"/>
        <w:numPr>
          <w:ilvl w:val="0"/>
          <w:numId w:val="5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4033A1">
        <w:rPr>
          <w:rFonts w:ascii="Arial Narrow" w:hAnsi="Arial Narrow"/>
          <w:sz w:val="24"/>
          <w:szCs w:val="24"/>
        </w:rPr>
        <w:t xml:space="preserve">Estimar la base imponible de IVA: si el precio de la transferencia o monto de </w:t>
      </w:r>
      <w:r w:rsidR="004033A1" w:rsidRP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la remuneración no fueren fidedignos o resultaren inferiores o superiores al </w:t>
      </w:r>
      <w:r w:rsid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corriente de mercado. </w:t>
      </w:r>
    </w:p>
    <w:p w:rsidR="004033A1" w:rsidRDefault="009B71C2" w:rsidP="009B71C2">
      <w:pPr>
        <w:pStyle w:val="Prrafodelista"/>
        <w:numPr>
          <w:ilvl w:val="0"/>
          <w:numId w:val="5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4033A1">
        <w:rPr>
          <w:rFonts w:ascii="Arial Narrow" w:hAnsi="Arial Narrow"/>
          <w:sz w:val="24"/>
          <w:szCs w:val="24"/>
        </w:rPr>
        <w:t xml:space="preserve">Establecer el crédito fiscal: cuando el precio de adquisición, sea superior al </w:t>
      </w:r>
      <w:r w:rsid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corriente de mercado. </w:t>
      </w:r>
    </w:p>
    <w:p w:rsidR="009B71C2" w:rsidRPr="004033A1" w:rsidRDefault="009B71C2" w:rsidP="009B71C2">
      <w:pPr>
        <w:pStyle w:val="Prrafodelista"/>
        <w:numPr>
          <w:ilvl w:val="0"/>
          <w:numId w:val="5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4033A1">
        <w:rPr>
          <w:rFonts w:ascii="Arial Narrow" w:hAnsi="Arial Narrow"/>
          <w:sz w:val="24"/>
          <w:szCs w:val="24"/>
        </w:rPr>
        <w:t xml:space="preserve">Determinar la renta y deducciones del ISR: cuando éstas resulten ser </w:t>
      </w:r>
      <w:r w:rsidR="004033A1" w:rsidRP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>inferiores o supe</w:t>
      </w:r>
      <w:r w:rsidR="004033A1">
        <w:rPr>
          <w:rFonts w:ascii="Arial Narrow" w:hAnsi="Arial Narrow"/>
          <w:sz w:val="24"/>
          <w:szCs w:val="24"/>
        </w:rPr>
        <w:t>riores a los precios de mercado</w:t>
      </w:r>
      <w:r w:rsidRPr="004033A1">
        <w:rPr>
          <w:rFonts w:ascii="Arial Narrow" w:hAnsi="Arial Narrow"/>
          <w:sz w:val="24"/>
          <w:szCs w:val="24"/>
        </w:rPr>
        <w:t xml:space="preserve">. </w:t>
      </w:r>
    </w:p>
    <w:p w:rsidR="009B71C2" w:rsidRPr="009B71C2" w:rsidRDefault="009B71C2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4033A1" w:rsidRDefault="004033A1" w:rsidP="009B71C2">
      <w:pPr>
        <w:spacing w:line="360" w:lineRule="auto"/>
        <w:jc w:val="both"/>
        <w:rPr>
          <w:rFonts w:ascii="Arial Narrow" w:hAnsi="Arial Narrow"/>
          <w:sz w:val="24"/>
          <w:szCs w:val="24"/>
          <w:u w:val="single"/>
        </w:rPr>
      </w:pPr>
      <w:r>
        <w:rPr>
          <w:rFonts w:ascii="Arial Narrow" w:hAnsi="Arial Narrow"/>
          <w:sz w:val="24"/>
          <w:szCs w:val="24"/>
          <w:u w:val="single"/>
        </w:rPr>
        <w:t xml:space="preserve">Sujetos Relacionados  </w:t>
      </w:r>
    </w:p>
    <w:p w:rsidR="009B71C2" w:rsidRPr="004033A1" w:rsidRDefault="009B71C2" w:rsidP="009B71C2">
      <w:pPr>
        <w:spacing w:line="360" w:lineRule="auto"/>
        <w:jc w:val="both"/>
        <w:rPr>
          <w:rFonts w:ascii="Arial Narrow" w:hAnsi="Arial Narrow"/>
          <w:sz w:val="24"/>
          <w:szCs w:val="24"/>
          <w:u w:val="single"/>
        </w:rPr>
      </w:pPr>
      <w:r w:rsidRPr="009B71C2">
        <w:rPr>
          <w:rFonts w:ascii="Arial Narrow" w:hAnsi="Arial Narrow"/>
          <w:sz w:val="24"/>
          <w:szCs w:val="24"/>
        </w:rPr>
        <w:t xml:space="preserve">Artículo 199-C del C.T. </w:t>
      </w:r>
      <w:r w:rsidR="004033A1">
        <w:rPr>
          <w:rFonts w:ascii="Arial Narrow" w:hAnsi="Arial Narrow"/>
          <w:sz w:val="24"/>
          <w:szCs w:val="24"/>
          <w:u w:val="single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Para efectos de lo dispuesto en este Código y demás leyes tributarias se </w:t>
      </w:r>
      <w:r w:rsidR="004033A1">
        <w:rPr>
          <w:rFonts w:ascii="Arial Narrow" w:hAnsi="Arial Narrow"/>
          <w:sz w:val="24"/>
          <w:szCs w:val="24"/>
          <w:u w:val="single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entenderá como sujetos relacionados: </w:t>
      </w:r>
    </w:p>
    <w:p w:rsidR="004033A1" w:rsidRDefault="009B71C2" w:rsidP="009B71C2">
      <w:pPr>
        <w:pStyle w:val="Prrafodelista"/>
        <w:numPr>
          <w:ilvl w:val="0"/>
          <w:numId w:val="6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4033A1">
        <w:rPr>
          <w:rFonts w:ascii="Arial Narrow" w:hAnsi="Arial Narrow"/>
          <w:sz w:val="24"/>
          <w:szCs w:val="24"/>
        </w:rPr>
        <w:t xml:space="preserve">Cuando uno de ellos dirija o controle la otra, o posea, directa o </w:t>
      </w:r>
      <w:r w:rsidR="004033A1" w:rsidRP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indirectamente, al menos el 25% de su capital social o de sus derechos de </w:t>
      </w:r>
      <w:r w:rsid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voto. </w:t>
      </w:r>
    </w:p>
    <w:p w:rsidR="004033A1" w:rsidRDefault="009B71C2" w:rsidP="009B71C2">
      <w:pPr>
        <w:pStyle w:val="Prrafodelista"/>
        <w:numPr>
          <w:ilvl w:val="0"/>
          <w:numId w:val="6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4033A1">
        <w:rPr>
          <w:rFonts w:ascii="Arial Narrow" w:hAnsi="Arial Narrow"/>
          <w:sz w:val="24"/>
          <w:szCs w:val="24"/>
        </w:rPr>
        <w:t xml:space="preserve">Cuando cinco o menos personas dirijan o controlen ambas personas, o </w:t>
      </w:r>
      <w:r w:rsidR="004033A1" w:rsidRP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posean en su conjunto, directa o indirectamente, al menos el 25% de </w:t>
      </w:r>
      <w:r w:rsidR="004033A1" w:rsidRP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>participación en el capital social o los derechos de voto de ambas</w:t>
      </w:r>
      <w:r w:rsid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personas. </w:t>
      </w:r>
    </w:p>
    <w:p w:rsidR="009B71C2" w:rsidRPr="004033A1" w:rsidRDefault="009B71C2" w:rsidP="004033A1">
      <w:pPr>
        <w:pStyle w:val="Prrafodelista"/>
        <w:numPr>
          <w:ilvl w:val="0"/>
          <w:numId w:val="6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4033A1">
        <w:rPr>
          <w:rFonts w:ascii="Arial Narrow" w:hAnsi="Arial Narrow"/>
          <w:sz w:val="24"/>
          <w:szCs w:val="24"/>
        </w:rPr>
        <w:t xml:space="preserve">Cuando sean sociedades que pertenezcan a una misma unidad de </w:t>
      </w:r>
      <w:r w:rsid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decisión o grupo empresarial. </w:t>
      </w:r>
    </w:p>
    <w:p w:rsidR="009B71C2" w:rsidRPr="009B71C2" w:rsidRDefault="009B71C2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t xml:space="preserve">En particular, dos sociedades forman parte de la misma unidad de decisión o </w:t>
      </w:r>
      <w:r w:rsidR="004033A1"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grupo empresarial si una de ellas es socio o partícipe de la otra y se encuentra </w:t>
      </w:r>
      <w:r w:rsidR="004033A1"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en relación con ésta en alguna de las siguientes situaciones: </w:t>
      </w:r>
    </w:p>
    <w:p w:rsidR="004033A1" w:rsidRDefault="009B71C2" w:rsidP="009B71C2">
      <w:pPr>
        <w:pStyle w:val="Prrafodelista"/>
        <w:numPr>
          <w:ilvl w:val="0"/>
          <w:numId w:val="7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4033A1">
        <w:rPr>
          <w:rFonts w:ascii="Arial Narrow" w:hAnsi="Arial Narrow"/>
          <w:sz w:val="24"/>
          <w:szCs w:val="24"/>
        </w:rPr>
        <w:lastRenderedPageBreak/>
        <w:t xml:space="preserve">Posea la mayoría de los derechos de voto. </w:t>
      </w:r>
    </w:p>
    <w:p w:rsidR="004033A1" w:rsidRDefault="009B71C2" w:rsidP="009B71C2">
      <w:pPr>
        <w:pStyle w:val="Prrafodelista"/>
        <w:numPr>
          <w:ilvl w:val="0"/>
          <w:numId w:val="7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4033A1">
        <w:rPr>
          <w:rFonts w:ascii="Arial Narrow" w:hAnsi="Arial Narrow"/>
          <w:sz w:val="24"/>
          <w:szCs w:val="24"/>
        </w:rPr>
        <w:t xml:space="preserve">Tenga la facultad de nombrar o destituir a la mayoría de los miembros del </w:t>
      </w:r>
      <w:r w:rsidR="004033A1" w:rsidRP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órgano de administración. </w:t>
      </w:r>
    </w:p>
    <w:p w:rsidR="004033A1" w:rsidRDefault="009B71C2" w:rsidP="009B71C2">
      <w:pPr>
        <w:pStyle w:val="Prrafodelista"/>
        <w:numPr>
          <w:ilvl w:val="0"/>
          <w:numId w:val="7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4033A1">
        <w:rPr>
          <w:rFonts w:ascii="Arial Narrow" w:hAnsi="Arial Narrow"/>
          <w:sz w:val="24"/>
          <w:szCs w:val="24"/>
        </w:rPr>
        <w:t xml:space="preserve">Pueda disponer, en virtud de acuerdos celebrados con otros socios, de la </w:t>
      </w:r>
      <w:r w:rsidR="004033A1" w:rsidRP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mayoría de los derechos de voto. </w:t>
      </w:r>
    </w:p>
    <w:p w:rsidR="004033A1" w:rsidRDefault="009B71C2" w:rsidP="009B71C2">
      <w:pPr>
        <w:pStyle w:val="Prrafodelista"/>
        <w:numPr>
          <w:ilvl w:val="0"/>
          <w:numId w:val="7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4033A1">
        <w:rPr>
          <w:rFonts w:ascii="Arial Narrow" w:hAnsi="Arial Narrow"/>
          <w:sz w:val="24"/>
          <w:szCs w:val="24"/>
        </w:rPr>
        <w:t xml:space="preserve">Haya designado exclusivamente con sus votos a la mayoría de los miembros </w:t>
      </w:r>
      <w:r w:rsidR="004033A1" w:rsidRPr="004033A1">
        <w:rPr>
          <w:rFonts w:ascii="Arial Narrow" w:hAnsi="Arial Narrow"/>
          <w:sz w:val="24"/>
          <w:szCs w:val="24"/>
        </w:rPr>
        <w:t xml:space="preserve"> </w:t>
      </w:r>
      <w:r w:rsidR="004033A1">
        <w:rPr>
          <w:rFonts w:ascii="Arial Narrow" w:hAnsi="Arial Narrow"/>
          <w:sz w:val="24"/>
          <w:szCs w:val="24"/>
        </w:rPr>
        <w:t>del órgano de administración.</w:t>
      </w:r>
    </w:p>
    <w:p w:rsidR="009B71C2" w:rsidRPr="004033A1" w:rsidRDefault="009B71C2" w:rsidP="009B71C2">
      <w:pPr>
        <w:pStyle w:val="Prrafodelista"/>
        <w:numPr>
          <w:ilvl w:val="0"/>
          <w:numId w:val="7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4033A1">
        <w:rPr>
          <w:rFonts w:ascii="Arial Narrow" w:hAnsi="Arial Narrow"/>
          <w:sz w:val="24"/>
          <w:szCs w:val="24"/>
        </w:rPr>
        <w:t xml:space="preserve">La mayoría de los miembros del órgano de administración de la sociedad </w:t>
      </w:r>
      <w:r w:rsid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dominada sean miembros o gerentes del órgano de administración de la </w:t>
      </w:r>
      <w:r w:rsid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sociedad dominante o de otra dominada por ésta. </w:t>
      </w:r>
    </w:p>
    <w:p w:rsidR="009B71C2" w:rsidRDefault="009B71C2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t>Cuando dos sociedades formen parte cada</w:t>
      </w:r>
      <w:r w:rsidR="004033A1">
        <w:rPr>
          <w:rFonts w:ascii="Arial Narrow" w:hAnsi="Arial Narrow"/>
          <w:sz w:val="24"/>
          <w:szCs w:val="24"/>
        </w:rPr>
        <w:t xml:space="preserve"> una de ellas de una unidad de  </w:t>
      </w:r>
      <w:r w:rsidRPr="009B71C2">
        <w:rPr>
          <w:rFonts w:ascii="Arial Narrow" w:hAnsi="Arial Narrow"/>
          <w:sz w:val="24"/>
          <w:szCs w:val="24"/>
        </w:rPr>
        <w:t>decisión o grupo empresarial respecto de una te</w:t>
      </w:r>
      <w:r w:rsidR="004033A1">
        <w:rPr>
          <w:rFonts w:ascii="Arial Narrow" w:hAnsi="Arial Narrow"/>
          <w:sz w:val="24"/>
          <w:szCs w:val="24"/>
        </w:rPr>
        <w:t xml:space="preserve">rcera sociedad, de acuerdo con  </w:t>
      </w:r>
      <w:r w:rsidRPr="009B71C2">
        <w:rPr>
          <w:rFonts w:ascii="Arial Narrow" w:hAnsi="Arial Narrow"/>
          <w:sz w:val="24"/>
          <w:szCs w:val="24"/>
        </w:rPr>
        <w:t xml:space="preserve">lo dispuesto en este literal, todas estas sociedades integrarán una unidad de </w:t>
      </w:r>
      <w:r w:rsidR="004033A1">
        <w:rPr>
          <w:rFonts w:ascii="Arial Narrow" w:hAnsi="Arial Narrow"/>
          <w:sz w:val="24"/>
          <w:szCs w:val="24"/>
        </w:rPr>
        <w:t xml:space="preserve"> </w:t>
      </w:r>
      <w:r w:rsidRPr="009B71C2">
        <w:rPr>
          <w:rFonts w:ascii="Arial Narrow" w:hAnsi="Arial Narrow"/>
          <w:sz w:val="24"/>
          <w:szCs w:val="24"/>
        </w:rPr>
        <w:t xml:space="preserve">decisión o grupo empresarial. </w:t>
      </w:r>
    </w:p>
    <w:p w:rsidR="004033A1" w:rsidRPr="009B71C2" w:rsidRDefault="004033A1" w:rsidP="004033A1">
      <w:pPr>
        <w:spacing w:after="0" w:line="360" w:lineRule="auto"/>
        <w:jc w:val="both"/>
        <w:rPr>
          <w:rFonts w:ascii="Arial Narrow" w:hAnsi="Arial Narrow"/>
          <w:sz w:val="24"/>
          <w:szCs w:val="24"/>
        </w:rPr>
      </w:pPr>
    </w:p>
    <w:p w:rsidR="004033A1" w:rsidRDefault="009B71C2" w:rsidP="004033A1">
      <w:pPr>
        <w:pStyle w:val="Prrafodelista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4033A1">
        <w:rPr>
          <w:rFonts w:ascii="Arial Narrow" w:hAnsi="Arial Narrow"/>
          <w:sz w:val="24"/>
          <w:szCs w:val="24"/>
        </w:rPr>
        <w:t xml:space="preserve">A los efectos de los literales anteriores, también se considera que una </w:t>
      </w:r>
      <w:r w:rsidR="004033A1" w:rsidRPr="004033A1">
        <w:rPr>
          <w:rFonts w:ascii="Arial Narrow" w:hAnsi="Arial Narrow"/>
          <w:sz w:val="24"/>
          <w:szCs w:val="24"/>
        </w:rPr>
        <w:t xml:space="preserve"> persona natural posee </w:t>
      </w:r>
      <w:r w:rsidRPr="004033A1">
        <w:rPr>
          <w:rFonts w:ascii="Arial Narrow" w:hAnsi="Arial Narrow"/>
          <w:sz w:val="24"/>
          <w:szCs w:val="24"/>
        </w:rPr>
        <w:t xml:space="preserve">una participación en el capital social o derechos </w:t>
      </w:r>
      <w:r w:rsidR="004033A1" w:rsidRP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de voto, cuando la titularidad de la participación directa o </w:t>
      </w:r>
      <w:r w:rsidR="004033A1" w:rsidRP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indirectamente, corresponde al cónyuge o persona unida por relación </w:t>
      </w:r>
      <w:r w:rsidR="004033A1" w:rsidRP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de parentesco en línea directa o colateral, por consanguinidad hasta el </w:t>
      </w:r>
      <w:r w:rsidR="004033A1" w:rsidRP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cuarto grado o por afinidad hasta el segundo grado. </w:t>
      </w:r>
    </w:p>
    <w:p w:rsidR="004033A1" w:rsidRDefault="009B71C2" w:rsidP="009B71C2">
      <w:pPr>
        <w:pStyle w:val="Prrafodelista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4033A1">
        <w:rPr>
          <w:rFonts w:ascii="Arial Narrow" w:hAnsi="Arial Narrow"/>
          <w:sz w:val="24"/>
          <w:szCs w:val="24"/>
        </w:rPr>
        <w:t xml:space="preserve">En una unión de personas, sociedad de hecho o contrato de </w:t>
      </w:r>
      <w:r w:rsidR="004033A1" w:rsidRP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colaboración empresarial o un contrato de asociación en participación, </w:t>
      </w:r>
      <w:r w:rsidR="004033A1" w:rsidRP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cuando alguno de los contratantes o asociados participe directa o </w:t>
      </w:r>
      <w:r w:rsidR="004033A1" w:rsidRP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indirectamente en más del 25% por ciento en el resultado o utilidad del </w:t>
      </w:r>
      <w:r w:rsidR="004033A1" w:rsidRP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contrato o de las actividades derivadas de la asociación. </w:t>
      </w:r>
    </w:p>
    <w:p w:rsidR="004033A1" w:rsidRDefault="009B71C2" w:rsidP="009B71C2">
      <w:pPr>
        <w:pStyle w:val="Prrafodelista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4033A1">
        <w:rPr>
          <w:rFonts w:ascii="Arial Narrow" w:hAnsi="Arial Narrow"/>
          <w:sz w:val="24"/>
          <w:szCs w:val="24"/>
        </w:rPr>
        <w:t>Una persona domiciliada en el país y un distribuidor o ente exclusivo de</w:t>
      </w:r>
      <w:r w:rsid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la misma residente en el extranjero. </w:t>
      </w:r>
    </w:p>
    <w:p w:rsidR="004033A1" w:rsidRDefault="009B71C2" w:rsidP="009B71C2">
      <w:pPr>
        <w:pStyle w:val="Prrafodelista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4033A1">
        <w:rPr>
          <w:rFonts w:ascii="Arial Narrow" w:hAnsi="Arial Narrow"/>
          <w:sz w:val="24"/>
          <w:szCs w:val="24"/>
        </w:rPr>
        <w:t xml:space="preserve">Un distribuidor o agente exclusivo domiciliado en el país de una entidad </w:t>
      </w:r>
      <w:r w:rsidR="004033A1" w:rsidRP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domiciliada en el exterior y ésta última. </w:t>
      </w:r>
    </w:p>
    <w:p w:rsidR="004033A1" w:rsidRDefault="009B71C2" w:rsidP="009B71C2">
      <w:pPr>
        <w:pStyle w:val="Prrafodelista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4033A1">
        <w:rPr>
          <w:rFonts w:ascii="Arial Narrow" w:hAnsi="Arial Narrow"/>
          <w:sz w:val="24"/>
          <w:szCs w:val="24"/>
        </w:rPr>
        <w:t xml:space="preserve">Una persona domiciliada en el país y su proveedor del exterior, cuando </w:t>
      </w:r>
      <w:r w:rsidR="004033A1" w:rsidRP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éste le efectué compras, y el volumen representa más del cincuenta por </w:t>
      </w:r>
      <w:r w:rsid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ciento (50%). </w:t>
      </w:r>
      <w:r w:rsidR="004033A1">
        <w:rPr>
          <w:rFonts w:ascii="Arial Narrow" w:hAnsi="Arial Narrow"/>
          <w:sz w:val="24"/>
          <w:szCs w:val="24"/>
        </w:rPr>
        <w:t xml:space="preserve"> </w:t>
      </w:r>
    </w:p>
    <w:p w:rsidR="004033A1" w:rsidRDefault="009B71C2" w:rsidP="009B71C2">
      <w:pPr>
        <w:pStyle w:val="Prrafodelista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4033A1">
        <w:rPr>
          <w:rFonts w:ascii="Arial Narrow" w:hAnsi="Arial Narrow"/>
          <w:sz w:val="24"/>
          <w:szCs w:val="24"/>
        </w:rPr>
        <w:t xml:space="preserve">Una persona residente en el país y sus establecimientos permanentes en </w:t>
      </w:r>
      <w:r w:rsid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el extranjero. </w:t>
      </w:r>
    </w:p>
    <w:p w:rsidR="009B71C2" w:rsidRPr="004033A1" w:rsidRDefault="009B71C2" w:rsidP="009B71C2">
      <w:pPr>
        <w:pStyle w:val="Prrafodelista"/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4033A1">
        <w:rPr>
          <w:rFonts w:ascii="Arial Narrow" w:hAnsi="Arial Narrow"/>
          <w:sz w:val="24"/>
          <w:szCs w:val="24"/>
        </w:rPr>
        <w:t xml:space="preserve">Un establecimiento permanente situado en el país y su casa central o </w:t>
      </w:r>
      <w:r w:rsid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matriz residente en el exterior, otro establecimiento permanente de la </w:t>
      </w:r>
      <w:r w:rsidR="004033A1">
        <w:rPr>
          <w:rFonts w:ascii="Arial Narrow" w:hAnsi="Arial Narrow"/>
          <w:sz w:val="24"/>
          <w:szCs w:val="24"/>
        </w:rPr>
        <w:t xml:space="preserve"> </w:t>
      </w:r>
      <w:r w:rsidRPr="004033A1">
        <w:rPr>
          <w:rFonts w:ascii="Arial Narrow" w:hAnsi="Arial Narrow"/>
          <w:sz w:val="24"/>
          <w:szCs w:val="24"/>
        </w:rPr>
        <w:t xml:space="preserve">misma o una persona con ella relacionada. </w:t>
      </w:r>
    </w:p>
    <w:p w:rsidR="009921C1" w:rsidRDefault="009921C1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9B71C2" w:rsidRPr="009921C1" w:rsidRDefault="009B71C2" w:rsidP="009B71C2">
      <w:pPr>
        <w:spacing w:line="360" w:lineRule="auto"/>
        <w:jc w:val="both"/>
        <w:rPr>
          <w:rFonts w:ascii="Arial Narrow" w:hAnsi="Arial Narrow"/>
          <w:sz w:val="24"/>
          <w:szCs w:val="24"/>
          <w:u w:val="single"/>
        </w:rPr>
      </w:pPr>
      <w:r w:rsidRPr="009921C1">
        <w:rPr>
          <w:rFonts w:ascii="Arial Narrow" w:hAnsi="Arial Narrow"/>
          <w:sz w:val="24"/>
          <w:szCs w:val="24"/>
          <w:u w:val="single"/>
        </w:rPr>
        <w:lastRenderedPageBreak/>
        <w:t>Criterios de Comparabilidad. El</w:t>
      </w:r>
      <w:r w:rsidR="009921C1" w:rsidRPr="009921C1">
        <w:rPr>
          <w:rFonts w:ascii="Arial Narrow" w:hAnsi="Arial Narrow"/>
          <w:sz w:val="24"/>
          <w:szCs w:val="24"/>
          <w:u w:val="single"/>
        </w:rPr>
        <w:t xml:space="preserve">iminación de diferencias.  </w:t>
      </w:r>
      <w:r w:rsidRPr="009921C1">
        <w:rPr>
          <w:rFonts w:ascii="Arial Narrow" w:hAnsi="Arial Narrow"/>
          <w:sz w:val="24"/>
          <w:szCs w:val="24"/>
          <w:u w:val="single"/>
        </w:rPr>
        <w:t xml:space="preserve">Artículo 199-D del C.T. </w:t>
      </w:r>
    </w:p>
    <w:p w:rsidR="009921C1" w:rsidRDefault="009B71C2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t xml:space="preserve">Para establecer si los bienes o servicios son de la misma especie, a efecto de  determinar el precio de mercado, se procederá a comparar las características económicas relevantes de las operaciones realizadas por el fiscalizado con otras operaciones realizadas entre partes independientes, para lo cual, se tomarán en cuenta, según sea el </w:t>
      </w:r>
      <w:r w:rsidR="009921C1">
        <w:rPr>
          <w:rFonts w:ascii="Arial Narrow" w:hAnsi="Arial Narrow"/>
          <w:sz w:val="24"/>
          <w:szCs w:val="24"/>
        </w:rPr>
        <w:t xml:space="preserve">caso, los siguientes factores: </w:t>
      </w:r>
    </w:p>
    <w:p w:rsidR="009921C1" w:rsidRDefault="009B71C2" w:rsidP="009B71C2">
      <w:pPr>
        <w:pStyle w:val="Prrafodelista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9921C1">
        <w:rPr>
          <w:rFonts w:ascii="Arial Narrow" w:hAnsi="Arial Narrow"/>
          <w:sz w:val="24"/>
          <w:szCs w:val="24"/>
        </w:rPr>
        <w:t xml:space="preserve">Características de las operaciones efectuadas, sean estas transferencias  de bienes materiales, bienes intangibles o prestación de servicios. </w:t>
      </w:r>
    </w:p>
    <w:p w:rsidR="009921C1" w:rsidRDefault="009B71C2" w:rsidP="009B71C2">
      <w:pPr>
        <w:pStyle w:val="Prrafodelista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9921C1">
        <w:rPr>
          <w:rFonts w:ascii="Arial Narrow" w:hAnsi="Arial Narrow"/>
          <w:sz w:val="24"/>
          <w:szCs w:val="24"/>
        </w:rPr>
        <w:t xml:space="preserve">Análisis de las funciones o actividades desempeñadas, incluyendo los activos utilizados y riesgos asumidos en las operaciones de cada una de las partes involucradas en la operación. </w:t>
      </w:r>
    </w:p>
    <w:p w:rsidR="009921C1" w:rsidRDefault="009B71C2" w:rsidP="009B71C2">
      <w:pPr>
        <w:pStyle w:val="Prrafodelista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9921C1">
        <w:rPr>
          <w:rFonts w:ascii="Arial Narrow" w:hAnsi="Arial Narrow"/>
          <w:sz w:val="24"/>
          <w:szCs w:val="24"/>
        </w:rPr>
        <w:t xml:space="preserve">Términos contractuales o los que no se encuentren expresamente en ningún contrato, con los que realmente se cumplen las transacciones entre partes relacionadas e independientes. </w:t>
      </w:r>
    </w:p>
    <w:p w:rsidR="009921C1" w:rsidRDefault="009B71C2" w:rsidP="009B71C2">
      <w:pPr>
        <w:pStyle w:val="Prrafodelista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9921C1">
        <w:rPr>
          <w:rFonts w:ascii="Arial Narrow" w:hAnsi="Arial Narrow"/>
          <w:sz w:val="24"/>
          <w:szCs w:val="24"/>
        </w:rPr>
        <w:t xml:space="preserve">Circunstancias económicas. </w:t>
      </w:r>
    </w:p>
    <w:p w:rsidR="009B71C2" w:rsidRPr="009921C1" w:rsidRDefault="009B71C2" w:rsidP="009B71C2">
      <w:pPr>
        <w:pStyle w:val="Prrafodelista"/>
        <w:numPr>
          <w:ilvl w:val="0"/>
          <w:numId w:val="10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9921C1">
        <w:rPr>
          <w:rFonts w:ascii="Arial Narrow" w:hAnsi="Arial Narrow"/>
          <w:sz w:val="24"/>
          <w:szCs w:val="24"/>
        </w:rPr>
        <w:t xml:space="preserve">Estrategias de negocios. </w:t>
      </w:r>
    </w:p>
    <w:p w:rsidR="009B71C2" w:rsidRPr="009B71C2" w:rsidRDefault="009B71C2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t>En caso de existir diferencias relevantes entre las características económicas de las operaciones, que afecten de manera significativa el precio o monto de la contraprestación, éstas deberán eliminarse en virtud de ajustes razonables que permitan un mayor grado de comparabilidad.</w:t>
      </w:r>
    </w:p>
    <w:p w:rsidR="009921C1" w:rsidRDefault="009B71C2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t>A los fines de la eliminación de las diferencias resultantes de la aplicación de los  criterios de comparabilidad, deben tenerse en cuenta, entre ot</w:t>
      </w:r>
      <w:r w:rsidR="009921C1">
        <w:rPr>
          <w:rFonts w:ascii="Arial Narrow" w:hAnsi="Arial Narrow"/>
          <w:sz w:val="24"/>
          <w:szCs w:val="24"/>
        </w:rPr>
        <w:t xml:space="preserve">ros, los siguientes elementos: </w:t>
      </w:r>
    </w:p>
    <w:p w:rsidR="009B71C2" w:rsidRPr="009921C1" w:rsidRDefault="009921C1" w:rsidP="009B71C2">
      <w:pPr>
        <w:pStyle w:val="Prrafodelista"/>
        <w:numPr>
          <w:ilvl w:val="0"/>
          <w:numId w:val="11"/>
        </w:num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921C1">
        <w:rPr>
          <w:rFonts w:ascii="Arial Narrow" w:hAnsi="Arial Narrow"/>
          <w:sz w:val="24"/>
          <w:szCs w:val="24"/>
        </w:rPr>
        <w:t>Plazo de pago, Cantidades negociadas, Propaganda y publicidad, Costo de intermediación,</w:t>
      </w:r>
      <w:r w:rsidR="009B71C2" w:rsidRPr="009921C1">
        <w:rPr>
          <w:rFonts w:ascii="Arial Narrow" w:hAnsi="Arial Narrow"/>
          <w:sz w:val="24"/>
          <w:szCs w:val="24"/>
        </w:rPr>
        <w:t xml:space="preserve"> Aco</w:t>
      </w:r>
      <w:r w:rsidRPr="009921C1">
        <w:rPr>
          <w:rFonts w:ascii="Arial Narrow" w:hAnsi="Arial Narrow"/>
          <w:sz w:val="24"/>
          <w:szCs w:val="24"/>
        </w:rPr>
        <w:t>ndicionamiento, flete y seguro,</w:t>
      </w:r>
      <w:r w:rsidR="009B71C2" w:rsidRPr="009921C1">
        <w:rPr>
          <w:rFonts w:ascii="Arial Narrow" w:hAnsi="Arial Narrow"/>
          <w:sz w:val="24"/>
          <w:szCs w:val="24"/>
        </w:rPr>
        <w:t xml:space="preserve"> N</w:t>
      </w:r>
      <w:r w:rsidRPr="009921C1">
        <w:rPr>
          <w:rFonts w:ascii="Arial Narrow" w:hAnsi="Arial Narrow"/>
          <w:sz w:val="24"/>
          <w:szCs w:val="24"/>
        </w:rPr>
        <w:t>aturaleza física y de contenido,</w:t>
      </w:r>
      <w:r w:rsidR="009B71C2" w:rsidRPr="009921C1">
        <w:rPr>
          <w:rFonts w:ascii="Arial Narrow" w:hAnsi="Arial Narrow"/>
          <w:sz w:val="24"/>
          <w:szCs w:val="24"/>
        </w:rPr>
        <w:t xml:space="preserve"> Diferencias de fecha de ce</w:t>
      </w:r>
      <w:r>
        <w:rPr>
          <w:rFonts w:ascii="Arial Narrow" w:hAnsi="Arial Narrow"/>
          <w:sz w:val="24"/>
          <w:szCs w:val="24"/>
        </w:rPr>
        <w:t>lebración de las transacciones.</w:t>
      </w:r>
    </w:p>
    <w:p w:rsidR="009921C1" w:rsidRDefault="009921C1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9B71C2" w:rsidRPr="009921C1" w:rsidRDefault="009B71C2" w:rsidP="009B71C2">
      <w:pPr>
        <w:spacing w:line="360" w:lineRule="auto"/>
        <w:jc w:val="both"/>
        <w:rPr>
          <w:rFonts w:ascii="Arial Narrow" w:hAnsi="Arial Narrow"/>
          <w:b/>
          <w:i/>
          <w:sz w:val="24"/>
          <w:szCs w:val="24"/>
        </w:rPr>
      </w:pPr>
      <w:r w:rsidRPr="009921C1">
        <w:rPr>
          <w:rFonts w:ascii="Arial Narrow" w:hAnsi="Arial Narrow"/>
          <w:b/>
          <w:i/>
          <w:sz w:val="24"/>
          <w:szCs w:val="24"/>
        </w:rPr>
        <w:t xml:space="preserve">DIFERENCIA EN FECHA DE LAS TRANSACCIONES </w:t>
      </w:r>
    </w:p>
    <w:p w:rsidR="009B71C2" w:rsidRPr="009921C1" w:rsidRDefault="009921C1" w:rsidP="009B71C2">
      <w:pPr>
        <w:spacing w:line="360" w:lineRule="auto"/>
        <w:jc w:val="both"/>
        <w:rPr>
          <w:rFonts w:ascii="Arial Narrow" w:hAnsi="Arial Narrow"/>
          <w:i/>
          <w:sz w:val="24"/>
          <w:szCs w:val="24"/>
          <w:u w:val="single"/>
        </w:rPr>
      </w:pPr>
      <w:r w:rsidRPr="009921C1">
        <w:rPr>
          <w:rFonts w:ascii="Arial Narrow" w:hAnsi="Arial Narrow"/>
          <w:i/>
          <w:sz w:val="24"/>
          <w:szCs w:val="24"/>
          <w:u w:val="single"/>
        </w:rPr>
        <w:t xml:space="preserve">Precio de Mercado  </w:t>
      </w:r>
      <w:r w:rsidR="009B71C2" w:rsidRPr="009921C1">
        <w:rPr>
          <w:rFonts w:ascii="Arial Narrow" w:hAnsi="Arial Narrow"/>
          <w:i/>
          <w:sz w:val="24"/>
          <w:szCs w:val="24"/>
          <w:u w:val="single"/>
        </w:rPr>
        <w:t xml:space="preserve">Artículo 199-B del C.T. </w:t>
      </w:r>
    </w:p>
    <w:p w:rsidR="009B71C2" w:rsidRPr="009B71C2" w:rsidRDefault="009921C1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Se entiende </w:t>
      </w:r>
      <w:r w:rsidR="009B71C2" w:rsidRPr="009B71C2">
        <w:rPr>
          <w:rFonts w:ascii="Arial Narrow" w:hAnsi="Arial Narrow"/>
          <w:sz w:val="24"/>
          <w:szCs w:val="24"/>
        </w:rPr>
        <w:t xml:space="preserve"> por precio de  mercado en las operaciones locales, el precio de venta que tengan los bienes o  servicios, en negocios o establecimientos ubicados en el país no relacionados con el fiscalizado, que transfieran bienes o presten servicios de la misma especie. </w:t>
      </w:r>
    </w:p>
    <w:p w:rsidR="009B71C2" w:rsidRPr="009B71C2" w:rsidRDefault="009B71C2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lastRenderedPageBreak/>
        <w:t xml:space="preserve">En transferencias de bienes o prestaciones de servicios al exterior el precio de  mercado lo constituirá, el precio al que otros sujetos distintos al fiscalizado y no  relacionados con éste hayan transferido bienes o prestado servicios de la misma especie, desde El Salvador al mismo país de destino. </w:t>
      </w:r>
    </w:p>
    <w:p w:rsidR="009B71C2" w:rsidRPr="009B71C2" w:rsidRDefault="009B71C2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t xml:space="preserve">En el caso de las importaciones el precio de mercado lo constituirá, el precio que  tengan los bienes o servicios de la misma especie en negocios o establecimientos  no relacionados con el sujeto fiscalizado, en el país en el que haya sido adquirido  el bien o el servicio, más los costos o gastos de transporte, cuando proceda. </w:t>
      </w:r>
    </w:p>
    <w:p w:rsidR="009B71C2" w:rsidRPr="009B71C2" w:rsidRDefault="009B71C2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t xml:space="preserve">Para establecer el precio de mercado, cuando haya más de tres oferentes de los bienes  o servicios, bastará para efectos determinativos, la información de precios de tres  oferentes, de los cuales se adoptará para esos fines un precio promedio. </w:t>
      </w:r>
    </w:p>
    <w:p w:rsidR="009B71C2" w:rsidRPr="009B71C2" w:rsidRDefault="009B71C2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t xml:space="preserve">Cuando en el mercado nacional o internacional, según sea el caso, existieren menos  de tres oferentes de esos bienes o servicios, bastará para efectos determinativos la  información de precios de los oferentes existentes, o por lo menos uno de ellos. En el  primer caso citado se adoptará el precio promedio y en el segundo, el del único  oferente.  En ningún caso, podrá incluirse al sujeto fiscalizado ni a sujetos relacionados con éste,  entre los oferentes cuyos precios se adoptaran como base de la determinación del  precio de mercado; de hacerse, por no haber podido apreciarse la relación con el  sujeto fiscalizado, no se invalidará la actuación de la Administración Tributaria. </w:t>
      </w:r>
    </w:p>
    <w:p w:rsidR="00F25B58" w:rsidRPr="009B71C2" w:rsidRDefault="009B71C2" w:rsidP="009B71C2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B71C2">
        <w:rPr>
          <w:rFonts w:ascii="Arial Narrow" w:hAnsi="Arial Narrow"/>
          <w:sz w:val="24"/>
          <w:szCs w:val="24"/>
        </w:rPr>
        <w:t xml:space="preserve">Si por cualquier razón, el precio de mercado no pudiere determinarse, la  Administración Tributaria lo establecerá adoptando el precio o el monto de las  contraprestaciones que el contribuyente fiscalizado haya recibido de adquirentes de bienes o prestatarios de servicios no relacionados distintos a aquellos a </w:t>
      </w:r>
      <w:bookmarkStart w:id="0" w:name="_GoBack"/>
      <w:bookmarkEnd w:id="0"/>
      <w:r w:rsidRPr="009B71C2">
        <w:rPr>
          <w:rFonts w:ascii="Arial Narrow" w:hAnsi="Arial Narrow"/>
          <w:sz w:val="24"/>
          <w:szCs w:val="24"/>
        </w:rPr>
        <w:t>los que transfirió bienes o prestó servicios a un precio infe</w:t>
      </w:r>
      <w:r w:rsidR="009921C1">
        <w:rPr>
          <w:rFonts w:ascii="Arial Narrow" w:hAnsi="Arial Narrow"/>
          <w:sz w:val="24"/>
          <w:szCs w:val="24"/>
        </w:rPr>
        <w:t>rior o superior al de mercado.</w:t>
      </w:r>
    </w:p>
    <w:sectPr w:rsidR="00F25B58" w:rsidRPr="009B71C2" w:rsidSect="009921C1">
      <w:headerReference w:type="default" r:id="rId8"/>
      <w:footerReference w:type="default" r:id="rId9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EF9" w:rsidRDefault="00A71EF9" w:rsidP="009921C1">
      <w:pPr>
        <w:spacing w:after="0" w:line="240" w:lineRule="auto"/>
      </w:pPr>
      <w:r>
        <w:separator/>
      </w:r>
    </w:p>
  </w:endnote>
  <w:endnote w:type="continuationSeparator" w:id="0">
    <w:p w:rsidR="00A71EF9" w:rsidRDefault="00A71EF9" w:rsidP="0099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0DB" w:rsidRPr="002646A6" w:rsidRDefault="009240DB" w:rsidP="009240DB">
    <w:pPr>
      <w:pStyle w:val="Piedepgina"/>
      <w:rPr>
        <w:rFonts w:ascii="Monotype Corsiva" w:hAnsi="Monotype Corsiva"/>
      </w:rPr>
    </w:pPr>
    <w:r w:rsidRPr="002646A6">
      <w:rPr>
        <w:rFonts w:ascii="Monotype Corsiva" w:hAnsi="Monotype Corsiva"/>
      </w:rPr>
      <w:t>RJUÁREZGT04</w:t>
    </w:r>
  </w:p>
  <w:p w:rsidR="009921C1" w:rsidRDefault="009921C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EF9" w:rsidRDefault="00A71EF9" w:rsidP="009921C1">
      <w:pPr>
        <w:spacing w:after="0" w:line="240" w:lineRule="auto"/>
      </w:pPr>
      <w:r>
        <w:separator/>
      </w:r>
    </w:p>
  </w:footnote>
  <w:footnote w:type="continuationSeparator" w:id="0">
    <w:p w:rsidR="00A71EF9" w:rsidRDefault="00A71EF9" w:rsidP="00992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1C1" w:rsidRDefault="009240DB" w:rsidP="009921C1">
    <w:pPr>
      <w:jc w:val="right"/>
    </w:pPr>
    <w:r>
      <w:rPr>
        <w:noProof/>
        <w:lang w:eastAsia="es-SV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911261" wp14:editId="447AED14">
              <wp:simplePos x="0" y="0"/>
              <wp:positionH relativeFrom="column">
                <wp:posOffset>18415</wp:posOffset>
              </wp:positionH>
              <wp:positionV relativeFrom="paragraph">
                <wp:posOffset>188595</wp:posOffset>
              </wp:positionV>
              <wp:extent cx="5927725" cy="0"/>
              <wp:effectExtent l="0" t="0" r="15875" b="19050"/>
              <wp:wrapNone/>
              <wp:docPr id="8" name="Conector rec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927725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  <a:prstDash val="dashDot"/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8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45pt,14.85pt" to="468.2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" strokecolor="black [3213]" strokeweight="1.5pt">
              <v:stroke dashstyle="dashDot"/>
            </v:line>
          </w:pict>
        </mc:Fallback>
      </mc:AlternateContent>
    </w:r>
    <w:r w:rsidR="009921C1">
      <w:rPr>
        <w:noProof/>
        <w:lang w:eastAsia="es-SV"/>
      </w:rPr>
      <w:drawing>
        <wp:anchor distT="0" distB="0" distL="114300" distR="114300" simplePos="0" relativeHeight="251660288" behindDoc="0" locked="0" layoutInCell="1" allowOverlap="1" wp14:anchorId="63C791A2" wp14:editId="7A2AF1F4">
          <wp:simplePos x="0" y="0"/>
          <wp:positionH relativeFrom="margin">
            <wp:posOffset>5948680</wp:posOffset>
          </wp:positionH>
          <wp:positionV relativeFrom="margin">
            <wp:posOffset>-916305</wp:posOffset>
          </wp:positionV>
          <wp:extent cx="786765" cy="803910"/>
          <wp:effectExtent l="0" t="0" r="0" b="0"/>
          <wp:wrapSquare wrapText="bothSides"/>
          <wp:docPr id="13" name="Imagen 13" descr="C:\Users\ETELWOF\Desktop\LOGO DE LA UE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" name="Imagen 156" descr="C:\Users\ETELWOF\Desktop\LOGO DE LA U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21C1">
      <w:rPr>
        <w:rFonts w:ascii="Edwardian Script ITC" w:hAnsi="Edwardian Script ITC"/>
        <w:sz w:val="28"/>
      </w:rPr>
      <w:t xml:space="preserve">Seminario De Auditoria.  </w:t>
    </w:r>
  </w:p>
  <w:p w:rsidR="009921C1" w:rsidRDefault="009921C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021D6"/>
    <w:multiLevelType w:val="hybridMultilevel"/>
    <w:tmpl w:val="2AC07EA8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32B01"/>
    <w:multiLevelType w:val="hybridMultilevel"/>
    <w:tmpl w:val="EC540F1C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26D8D"/>
    <w:multiLevelType w:val="hybridMultilevel"/>
    <w:tmpl w:val="1174F86E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E0316"/>
    <w:multiLevelType w:val="hybridMultilevel"/>
    <w:tmpl w:val="23B09E1C"/>
    <w:lvl w:ilvl="0" w:tplc="BB485A3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337821"/>
    <w:multiLevelType w:val="hybridMultilevel"/>
    <w:tmpl w:val="DE341BFE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FB5865"/>
    <w:multiLevelType w:val="hybridMultilevel"/>
    <w:tmpl w:val="1492A756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8114E6"/>
    <w:multiLevelType w:val="hybridMultilevel"/>
    <w:tmpl w:val="84067070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B234AC"/>
    <w:multiLevelType w:val="hybridMultilevel"/>
    <w:tmpl w:val="F70057B2"/>
    <w:lvl w:ilvl="0" w:tplc="4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4B0253"/>
    <w:multiLevelType w:val="hybridMultilevel"/>
    <w:tmpl w:val="B650C5CA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A14182"/>
    <w:multiLevelType w:val="hybridMultilevel"/>
    <w:tmpl w:val="C8B2F93E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25EB7"/>
    <w:multiLevelType w:val="hybridMultilevel"/>
    <w:tmpl w:val="963AC82E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7"/>
  </w:num>
  <w:num w:numId="8">
    <w:abstractNumId w:val="9"/>
  </w:num>
  <w:num w:numId="9">
    <w:abstractNumId w:val="3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1C2"/>
    <w:rsid w:val="004033A1"/>
    <w:rsid w:val="009240DB"/>
    <w:rsid w:val="009921C1"/>
    <w:rsid w:val="009B71C2"/>
    <w:rsid w:val="00A71EF9"/>
    <w:rsid w:val="00AE2D2A"/>
    <w:rsid w:val="00F2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B71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921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21C1"/>
  </w:style>
  <w:style w:type="paragraph" w:styleId="Piedepgina">
    <w:name w:val="footer"/>
    <w:basedOn w:val="Normal"/>
    <w:link w:val="PiedepginaCar"/>
    <w:uiPriority w:val="99"/>
    <w:unhideWhenUsed/>
    <w:rsid w:val="009921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21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B71C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921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921C1"/>
  </w:style>
  <w:style w:type="paragraph" w:styleId="Piedepgina">
    <w:name w:val="footer"/>
    <w:basedOn w:val="Normal"/>
    <w:link w:val="PiedepginaCar"/>
    <w:uiPriority w:val="99"/>
    <w:unhideWhenUsed/>
    <w:rsid w:val="009921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92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2108</Words>
  <Characters>11594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ETELWOF</dc:creator>
  <cp:lastModifiedBy>ETELWOF</cp:lastModifiedBy>
  <cp:revision>2</cp:revision>
  <dcterms:created xsi:type="dcterms:W3CDTF">2013-10-28T03:25:00Z</dcterms:created>
  <dcterms:modified xsi:type="dcterms:W3CDTF">2013-10-28T04:41:00Z</dcterms:modified>
</cp:coreProperties>
</file>