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CD2" w:rsidRPr="002012F1" w:rsidRDefault="00B22CD2" w:rsidP="00B22CD2">
      <w:pPr>
        <w:jc w:val="center"/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noProof/>
          <w:lang w:eastAsia="es-SV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-871219</wp:posOffset>
            </wp:positionV>
            <wp:extent cx="885825" cy="952460"/>
            <wp:effectExtent l="0" t="0" r="0" b="635"/>
            <wp:wrapNone/>
            <wp:docPr id="3" name="Imagen 3" descr="ECONOM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ECONOMI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869" cy="957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12F1">
        <w:rPr>
          <w:rFonts w:ascii="Arial" w:hAnsi="Arial" w:cs="Arial"/>
          <w:b/>
          <w:bCs/>
        </w:rPr>
        <w:t>FACULTAD DE CIENCIAS ECONÓMICAS</w:t>
      </w:r>
      <w:r w:rsidRPr="002012F1">
        <w:rPr>
          <w:rFonts w:ascii="Arial" w:hAnsi="Arial" w:cs="Arial"/>
          <w:noProof/>
          <w:lang w:eastAsia="es-SV"/>
        </w:rPr>
        <w:t xml:space="preserve"> </w:t>
      </w:r>
    </w:p>
    <w:p w:rsidR="00B22CD2" w:rsidRPr="002012F1" w:rsidRDefault="00B22CD2" w:rsidP="00B22CD2">
      <w:pPr>
        <w:jc w:val="center"/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118110</wp:posOffset>
                </wp:positionV>
                <wp:extent cx="171450" cy="7190740"/>
                <wp:effectExtent l="7620" t="12065" r="11430" b="2667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71907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10B31" id="Rectángulo 2" o:spid="_x0000_s1026" style="position:absolute;margin-left:-25.95pt;margin-top:9.3pt;width:13.5pt;height:56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" fillcolor="#92cddc" strokecolor="#4bacc6" strokeweight="1pt">
                <v:fill color2="#4bacc6" rotate="t" focus="50%" type="gradient"/>
                <v:shadow on="t" color="#205867" offset="1pt"/>
              </v:rect>
            </w:pict>
          </mc:Fallback>
        </mc:AlternateContent>
      </w:r>
      <w:r w:rsidRPr="002012F1">
        <w:rPr>
          <w:rFonts w:ascii="Arial" w:hAnsi="Arial" w:cs="Arial"/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-561340</wp:posOffset>
                </wp:positionH>
                <wp:positionV relativeFrom="paragraph">
                  <wp:posOffset>115570</wp:posOffset>
                </wp:positionV>
                <wp:extent cx="171450" cy="7190740"/>
                <wp:effectExtent l="13970" t="9525" r="14605" b="2921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719074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4B0DA" id="Rectángulo 1" o:spid="_x0000_s1026" style="position:absolute;margin-left:-44.2pt;margin-top:9.1pt;width:13.5pt;height:56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" fillcolor="#92cddc" strokecolor="#4bacc6" strokeweight="1pt">
                <v:fill color2="#4bacc6" rotate="t" focus="50%" type="gradient"/>
                <v:shadow on="t" color="#205867" offset="1pt"/>
              </v:rect>
            </w:pict>
          </mc:Fallback>
        </mc:AlternateContent>
      </w:r>
      <w:r w:rsidRPr="002012F1">
        <w:rPr>
          <w:rFonts w:ascii="Arial" w:hAnsi="Arial" w:cs="Arial"/>
          <w:b/>
          <w:bCs/>
        </w:rPr>
        <w:t>ESCUELA DE CONTADURÍA PÚBLICA</w:t>
      </w:r>
    </w:p>
    <w:p w:rsidR="00B22CD2" w:rsidRPr="002012F1" w:rsidRDefault="00B22CD2" w:rsidP="00B22CD2">
      <w:pPr>
        <w:jc w:val="center"/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jc w:val="center"/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jc w:val="center"/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jc w:val="center"/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b/>
          <w:bCs/>
        </w:rPr>
        <w:t>METODOLOGIA DE LA AUDITORIA FORENSE</w:t>
      </w:r>
    </w:p>
    <w:p w:rsidR="00B22CD2" w:rsidRPr="002012F1" w:rsidRDefault="00B22CD2" w:rsidP="00B22CD2">
      <w:pPr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b/>
          <w:bCs/>
        </w:rPr>
        <w:t xml:space="preserve">     </w:t>
      </w:r>
    </w:p>
    <w:p w:rsidR="00B22CD2" w:rsidRPr="002012F1" w:rsidRDefault="00B22CD2" w:rsidP="00B22CD2">
      <w:pPr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ind w:left="708" w:firstLine="708"/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b/>
          <w:bCs/>
        </w:rPr>
        <w:t xml:space="preserve">Cátedra: </w:t>
      </w:r>
      <w:r w:rsidRPr="002012F1">
        <w:rPr>
          <w:rFonts w:ascii="Arial" w:hAnsi="Arial" w:cs="Arial"/>
        </w:rPr>
        <w:t>SEMINARIO DE AUDITORIA</w:t>
      </w:r>
    </w:p>
    <w:p w:rsidR="00B22CD2" w:rsidRPr="002012F1" w:rsidRDefault="00B22CD2" w:rsidP="00B22CD2">
      <w:pPr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b/>
          <w:bCs/>
        </w:rPr>
        <w:t xml:space="preserve">                      </w:t>
      </w:r>
    </w:p>
    <w:p w:rsidR="00B22CD2" w:rsidRPr="002012F1" w:rsidRDefault="00B22CD2" w:rsidP="00B22CD2">
      <w:pPr>
        <w:ind w:left="708" w:firstLine="708"/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b/>
          <w:bCs/>
        </w:rPr>
        <w:t xml:space="preserve">Catedrático: </w:t>
      </w:r>
      <w:r w:rsidRPr="002012F1">
        <w:rPr>
          <w:rFonts w:ascii="Arial" w:hAnsi="Arial" w:cs="Arial"/>
        </w:rPr>
        <w:t xml:space="preserve">Lic. </w:t>
      </w:r>
      <w:r w:rsidRPr="002012F1">
        <w:rPr>
          <w:rFonts w:ascii="Arial" w:hAnsi="Arial" w:cs="Arial"/>
          <w:noProof/>
        </w:rPr>
        <w:t>JAVIER E. MIRANDA R.</w:t>
      </w:r>
    </w:p>
    <w:p w:rsidR="00B22CD2" w:rsidRPr="002012F1" w:rsidRDefault="00B22CD2" w:rsidP="00B22CD2">
      <w:pPr>
        <w:pStyle w:val="Ttulo4"/>
        <w:rPr>
          <w:rFonts w:ascii="Arial" w:hAnsi="Arial" w:cs="Arial"/>
          <w:b w:val="0"/>
          <w:bCs w:val="0"/>
          <w:sz w:val="24"/>
          <w:szCs w:val="24"/>
        </w:rPr>
      </w:pPr>
    </w:p>
    <w:p w:rsidR="00B22CD2" w:rsidRPr="002012F1" w:rsidRDefault="00B22CD2" w:rsidP="00B22CD2">
      <w:pPr>
        <w:tabs>
          <w:tab w:val="left" w:pos="6960"/>
        </w:tabs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b/>
          <w:bCs/>
        </w:rPr>
        <w:tab/>
      </w:r>
    </w:p>
    <w:p w:rsidR="00B22CD2" w:rsidRPr="002012F1" w:rsidRDefault="00B22CD2" w:rsidP="00B22CD2">
      <w:pPr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rPr>
          <w:rFonts w:ascii="Arial" w:hAnsi="Arial" w:cs="Arial"/>
        </w:rPr>
      </w:pPr>
      <w:r w:rsidRPr="002012F1">
        <w:rPr>
          <w:rFonts w:ascii="Arial" w:hAnsi="Arial" w:cs="Arial"/>
          <w:b/>
          <w:bCs/>
        </w:rPr>
        <w:t xml:space="preserve">                        Grupo Teórico: </w:t>
      </w:r>
      <w:r w:rsidRPr="002012F1">
        <w:rPr>
          <w:rFonts w:ascii="Arial" w:hAnsi="Arial" w:cs="Arial"/>
        </w:rPr>
        <w:t>01</w:t>
      </w:r>
    </w:p>
    <w:p w:rsidR="00B22CD2" w:rsidRPr="002012F1" w:rsidRDefault="00B22CD2" w:rsidP="00B22CD2">
      <w:pPr>
        <w:rPr>
          <w:rFonts w:ascii="Arial" w:hAnsi="Arial" w:cs="Arial"/>
        </w:rPr>
      </w:pPr>
    </w:p>
    <w:p w:rsidR="00B22CD2" w:rsidRPr="002012F1" w:rsidRDefault="00B22CD2" w:rsidP="00B22CD2">
      <w:pPr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rPr>
          <w:rFonts w:ascii="Arial" w:hAnsi="Arial" w:cs="Arial"/>
        </w:rPr>
      </w:pPr>
      <w:r w:rsidRPr="002012F1">
        <w:rPr>
          <w:rFonts w:ascii="Arial" w:hAnsi="Arial" w:cs="Arial"/>
          <w:b/>
          <w:bCs/>
        </w:rPr>
        <w:t xml:space="preserve">                        Grupo de Trabajo: </w:t>
      </w:r>
      <w:r w:rsidRPr="002012F1">
        <w:rPr>
          <w:rFonts w:ascii="Arial" w:hAnsi="Arial" w:cs="Arial"/>
        </w:rPr>
        <w:t>06</w:t>
      </w:r>
    </w:p>
    <w:p w:rsidR="00B22CD2" w:rsidRPr="002012F1" w:rsidRDefault="00B22CD2" w:rsidP="00B22CD2">
      <w:pPr>
        <w:rPr>
          <w:rFonts w:ascii="Arial" w:hAnsi="Arial" w:cs="Arial"/>
          <w:b/>
          <w:bCs/>
        </w:rPr>
      </w:pPr>
    </w:p>
    <w:p w:rsidR="00B22CD2" w:rsidRPr="002012F1" w:rsidRDefault="00B22CD2" w:rsidP="00B22CD2">
      <w:pPr>
        <w:rPr>
          <w:rFonts w:ascii="Arial" w:hAnsi="Arial" w:cs="Arial"/>
          <w:b/>
          <w:bCs/>
        </w:rPr>
      </w:pPr>
      <w:r w:rsidRPr="002012F1">
        <w:rPr>
          <w:rFonts w:ascii="Arial" w:hAnsi="Arial" w:cs="Arial"/>
          <w:b/>
          <w:bCs/>
        </w:rPr>
        <w:t xml:space="preserve">                         </w:t>
      </w:r>
    </w:p>
    <w:p w:rsidR="00B22CD2" w:rsidRPr="002012F1" w:rsidRDefault="00B22CD2" w:rsidP="00B22CD2">
      <w:pPr>
        <w:pStyle w:val="Ttulo4"/>
        <w:ind w:left="708"/>
        <w:rPr>
          <w:rFonts w:ascii="Arial" w:hAnsi="Arial" w:cs="Arial"/>
          <w:i/>
          <w:iCs/>
          <w:color w:val="000000"/>
          <w:sz w:val="24"/>
          <w:szCs w:val="24"/>
        </w:rPr>
      </w:pPr>
      <w:r w:rsidRPr="002012F1">
        <w:rPr>
          <w:rFonts w:ascii="Arial" w:hAnsi="Arial" w:cs="Arial"/>
          <w:color w:val="000000"/>
          <w:sz w:val="24"/>
          <w:szCs w:val="24"/>
        </w:rPr>
        <w:t xml:space="preserve">Integrantes: </w:t>
      </w:r>
      <w:r w:rsidRPr="002012F1">
        <w:rPr>
          <w:rFonts w:ascii="Arial" w:hAnsi="Arial" w:cs="Arial"/>
          <w:color w:val="000000"/>
          <w:sz w:val="24"/>
          <w:szCs w:val="24"/>
        </w:rPr>
        <w:tab/>
      </w:r>
      <w:r w:rsidRPr="002012F1">
        <w:rPr>
          <w:rFonts w:ascii="Arial" w:hAnsi="Arial" w:cs="Arial"/>
          <w:color w:val="000000"/>
          <w:sz w:val="24"/>
          <w:szCs w:val="24"/>
        </w:rPr>
        <w:tab/>
        <w:t xml:space="preserve">           </w:t>
      </w:r>
      <w:r w:rsidRPr="002012F1">
        <w:rPr>
          <w:rFonts w:ascii="Arial" w:hAnsi="Arial" w:cs="Arial"/>
          <w:color w:val="000000"/>
          <w:sz w:val="24"/>
          <w:szCs w:val="24"/>
        </w:rPr>
        <w:tab/>
      </w:r>
      <w:r w:rsidRPr="002012F1"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 xml:space="preserve">    </w:t>
      </w:r>
      <w:r w:rsidRPr="002012F1">
        <w:rPr>
          <w:rFonts w:ascii="Arial" w:hAnsi="Arial" w:cs="Arial"/>
          <w:color w:val="000000"/>
          <w:sz w:val="24"/>
          <w:szCs w:val="24"/>
        </w:rPr>
        <w:t>Carnet    Participación</w:t>
      </w:r>
      <w:r w:rsidRPr="002012F1">
        <w:rPr>
          <w:rFonts w:ascii="Arial" w:hAnsi="Arial" w:cs="Arial"/>
          <w:color w:val="000000"/>
          <w:sz w:val="24"/>
          <w:szCs w:val="24"/>
        </w:rPr>
        <w:tab/>
      </w:r>
    </w:p>
    <w:p w:rsidR="00B22CD2" w:rsidRPr="002012F1" w:rsidRDefault="00B22CD2" w:rsidP="00B22CD2">
      <w:pPr>
        <w:spacing w:line="360" w:lineRule="auto"/>
        <w:ind w:firstLine="708"/>
        <w:rPr>
          <w:rFonts w:ascii="Arial" w:hAnsi="Arial" w:cs="Arial"/>
        </w:rPr>
      </w:pPr>
      <w:r w:rsidRPr="002012F1">
        <w:rPr>
          <w:rFonts w:ascii="Arial" w:hAnsi="Arial" w:cs="Arial"/>
        </w:rPr>
        <w:t xml:space="preserve">MANUEL ALEXANDER PORTILLO HERNANDEZ </w:t>
      </w:r>
      <w:r>
        <w:rPr>
          <w:rFonts w:ascii="Arial" w:hAnsi="Arial" w:cs="Arial"/>
        </w:rPr>
        <w:t xml:space="preserve">      PH03015</w:t>
      </w:r>
      <w:r>
        <w:rPr>
          <w:rFonts w:ascii="Arial" w:hAnsi="Arial" w:cs="Arial"/>
        </w:rPr>
        <w:tab/>
        <w:t xml:space="preserve">       </w:t>
      </w:r>
      <w:r w:rsidRPr="002012F1">
        <w:rPr>
          <w:rFonts w:ascii="Arial" w:hAnsi="Arial" w:cs="Arial"/>
        </w:rPr>
        <w:t>100%</w:t>
      </w:r>
    </w:p>
    <w:p w:rsidR="00B22CD2" w:rsidRPr="002012F1" w:rsidRDefault="00B22CD2" w:rsidP="00B22CD2">
      <w:pPr>
        <w:spacing w:line="360" w:lineRule="auto"/>
        <w:ind w:firstLine="708"/>
        <w:rPr>
          <w:rFonts w:ascii="Arial" w:hAnsi="Arial" w:cs="Arial"/>
        </w:rPr>
      </w:pPr>
      <w:r w:rsidRPr="002012F1">
        <w:rPr>
          <w:rFonts w:ascii="Arial" w:hAnsi="Arial" w:cs="Arial"/>
        </w:rPr>
        <w:t>LESLIE MELISSA GOMEZ NUÑEZ</w:t>
      </w:r>
      <w:r w:rsidRPr="002012F1">
        <w:rPr>
          <w:rFonts w:ascii="Arial" w:hAnsi="Arial" w:cs="Arial"/>
        </w:rPr>
        <w:tab/>
      </w:r>
      <w:r w:rsidRPr="002012F1">
        <w:rPr>
          <w:rFonts w:ascii="Arial" w:hAnsi="Arial" w:cs="Arial"/>
        </w:rPr>
        <w:tab/>
      </w:r>
      <w:r w:rsidRPr="002012F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</w:t>
      </w:r>
      <w:r w:rsidRPr="002012F1">
        <w:rPr>
          <w:rFonts w:ascii="Arial" w:hAnsi="Arial" w:cs="Arial"/>
        </w:rPr>
        <w:t>GN07002         100%</w:t>
      </w:r>
    </w:p>
    <w:p w:rsidR="00B22CD2" w:rsidRPr="002012F1" w:rsidRDefault="00B22CD2" w:rsidP="00B22CD2">
      <w:pPr>
        <w:spacing w:line="360" w:lineRule="auto"/>
        <w:ind w:firstLine="708"/>
        <w:rPr>
          <w:rFonts w:ascii="Arial" w:hAnsi="Arial" w:cs="Arial"/>
        </w:rPr>
      </w:pPr>
      <w:r w:rsidRPr="002012F1">
        <w:rPr>
          <w:rFonts w:ascii="Arial" w:hAnsi="Arial" w:cs="Arial"/>
        </w:rPr>
        <w:t>ROXANA CRISEYDA P</w:t>
      </w:r>
      <w:r>
        <w:rPr>
          <w:rFonts w:ascii="Arial" w:hAnsi="Arial" w:cs="Arial"/>
        </w:rPr>
        <w:t>INEDA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</w:t>
      </w:r>
      <w:r w:rsidRPr="002012F1">
        <w:rPr>
          <w:rFonts w:ascii="Arial" w:hAnsi="Arial" w:cs="Arial"/>
        </w:rPr>
        <w:t xml:space="preserve">CP02034       </w:t>
      </w:r>
      <w:r>
        <w:rPr>
          <w:rFonts w:ascii="Arial" w:hAnsi="Arial" w:cs="Arial"/>
        </w:rPr>
        <w:t xml:space="preserve">  </w:t>
      </w:r>
      <w:r w:rsidRPr="002012F1">
        <w:rPr>
          <w:rFonts w:ascii="Arial" w:hAnsi="Arial" w:cs="Arial"/>
        </w:rPr>
        <w:t>100%</w:t>
      </w:r>
    </w:p>
    <w:p w:rsidR="00B22CD2" w:rsidRPr="002012F1" w:rsidRDefault="00B22CD2" w:rsidP="00B22CD2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JORGE ALFREDO VALENCIA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</w:t>
      </w:r>
      <w:r w:rsidRPr="002012F1">
        <w:rPr>
          <w:rFonts w:ascii="Arial" w:hAnsi="Arial" w:cs="Arial"/>
        </w:rPr>
        <w:t xml:space="preserve">VV93004         </w:t>
      </w:r>
      <w:r>
        <w:rPr>
          <w:rFonts w:ascii="Arial" w:hAnsi="Arial" w:cs="Arial"/>
        </w:rPr>
        <w:t>100%</w:t>
      </w:r>
    </w:p>
    <w:p w:rsidR="00B22CD2" w:rsidRPr="002012F1" w:rsidRDefault="00B22CD2" w:rsidP="00B22CD2">
      <w:pPr>
        <w:ind w:left="3540" w:firstLine="708"/>
        <w:jc w:val="center"/>
        <w:rPr>
          <w:rFonts w:ascii="Arial" w:hAnsi="Arial" w:cs="Arial"/>
        </w:rPr>
      </w:pPr>
    </w:p>
    <w:p w:rsidR="00B22CD2" w:rsidRPr="002012F1" w:rsidRDefault="00B22CD2" w:rsidP="00B22CD2">
      <w:pPr>
        <w:ind w:left="3540" w:firstLine="708"/>
        <w:jc w:val="center"/>
        <w:rPr>
          <w:rFonts w:ascii="Arial" w:hAnsi="Arial" w:cs="Arial"/>
        </w:rPr>
      </w:pPr>
    </w:p>
    <w:p w:rsidR="00B22CD2" w:rsidRDefault="00B22CD2" w:rsidP="00B22CD2">
      <w:pPr>
        <w:ind w:left="3540"/>
        <w:rPr>
          <w:rFonts w:ascii="Arial" w:hAnsi="Arial" w:cs="Arial"/>
        </w:rPr>
        <w:sectPr w:rsidR="00B22CD2" w:rsidSect="00205720">
          <w:headerReference w:type="default" r:id="rId6"/>
          <w:footerReference w:type="default" r:id="rId7"/>
          <w:pgSz w:w="11906" w:h="16838"/>
          <w:pgMar w:top="1417" w:right="1701" w:bottom="1417" w:left="1701" w:header="708" w:footer="708" w:gutter="0"/>
          <w:pgNumType w:start="1"/>
          <w:cols w:space="708"/>
          <w:titlePg/>
          <w:docGrid w:linePitch="360"/>
        </w:sectPr>
      </w:pPr>
      <w:r>
        <w:rPr>
          <w:rFonts w:ascii="Arial" w:hAnsi="Arial" w:cs="Arial"/>
        </w:rPr>
        <w:t>Ciudad Universitaria, 01 de jul</w:t>
      </w:r>
      <w:r w:rsidRPr="002012F1">
        <w:rPr>
          <w:rFonts w:ascii="Arial" w:hAnsi="Arial" w:cs="Arial"/>
        </w:rPr>
        <w:t>io de 2016</w:t>
      </w:r>
    </w:p>
    <w:p w:rsidR="00142396" w:rsidRPr="0042205D" w:rsidRDefault="002342A1" w:rsidP="00913A70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42205D">
        <w:rPr>
          <w:rFonts w:ascii="Arial" w:hAnsi="Arial" w:cs="Arial"/>
          <w:b/>
          <w:sz w:val="24"/>
        </w:rPr>
        <w:lastRenderedPageBreak/>
        <w:t>METODOLOGIA DE INVESTIGACION DE LA AUDITORIA FORENSE</w:t>
      </w:r>
      <w:bookmarkStart w:id="0" w:name="_GoBack"/>
      <w:bookmarkEnd w:id="0"/>
    </w:p>
    <w:p w:rsidR="002342A1" w:rsidRPr="0042205D" w:rsidRDefault="002342A1" w:rsidP="00913A70">
      <w:pPr>
        <w:spacing w:line="360" w:lineRule="auto"/>
        <w:rPr>
          <w:rFonts w:ascii="Arial" w:hAnsi="Arial" w:cs="Arial"/>
          <w:b/>
          <w:sz w:val="24"/>
        </w:rPr>
      </w:pPr>
    </w:p>
    <w:p w:rsidR="002342A1" w:rsidRPr="0042205D" w:rsidRDefault="002B6511" w:rsidP="00913A70">
      <w:pPr>
        <w:spacing w:line="360" w:lineRule="auto"/>
        <w:jc w:val="center"/>
        <w:rPr>
          <w:rFonts w:ascii="Arial" w:hAnsi="Arial" w:cs="Arial"/>
          <w:b/>
          <w:sz w:val="24"/>
        </w:rPr>
      </w:pPr>
      <w:r w:rsidRPr="0042205D">
        <w:rPr>
          <w:rFonts w:ascii="Arial" w:hAnsi="Arial" w:cs="Arial"/>
          <w:b/>
          <w:sz w:val="24"/>
        </w:rPr>
        <w:t>METODOLOGIA</w:t>
      </w:r>
    </w:p>
    <w:p w:rsidR="002B6511" w:rsidRPr="0042205D" w:rsidRDefault="002B6511" w:rsidP="00913A70">
      <w:pPr>
        <w:spacing w:line="360" w:lineRule="auto"/>
        <w:jc w:val="both"/>
        <w:rPr>
          <w:rFonts w:ascii="Arial" w:hAnsi="Arial" w:cs="Arial"/>
          <w:bCs/>
          <w:sz w:val="24"/>
        </w:rPr>
      </w:pPr>
      <w:r w:rsidRPr="0042205D">
        <w:rPr>
          <w:rFonts w:ascii="Arial" w:hAnsi="Arial" w:cs="Arial"/>
          <w:bCs/>
          <w:sz w:val="24"/>
        </w:rPr>
        <w:t>Es un vocablo generado a partir de tres palabras de origen griego:</w:t>
      </w:r>
      <w:r w:rsidRPr="0042205D">
        <w:rPr>
          <w:rFonts w:ascii="Arial" w:hAnsi="Arial" w:cs="Arial"/>
          <w:bCs/>
          <w:i/>
          <w:iCs/>
          <w:sz w:val="24"/>
        </w:rPr>
        <w:t xml:space="preserve"> metà</w:t>
      </w:r>
      <w:r w:rsidRPr="0042205D">
        <w:rPr>
          <w:rFonts w:ascii="Arial" w:hAnsi="Arial" w:cs="Arial"/>
          <w:bCs/>
          <w:sz w:val="24"/>
        </w:rPr>
        <w:t xml:space="preserve"> (“más allá”), </w:t>
      </w:r>
      <w:r w:rsidRPr="0042205D">
        <w:rPr>
          <w:rFonts w:ascii="Arial" w:hAnsi="Arial" w:cs="Arial"/>
          <w:bCs/>
          <w:i/>
          <w:iCs/>
          <w:sz w:val="24"/>
        </w:rPr>
        <w:t>odòs</w:t>
      </w:r>
      <w:r w:rsidRPr="0042205D">
        <w:rPr>
          <w:rFonts w:ascii="Arial" w:hAnsi="Arial" w:cs="Arial"/>
          <w:bCs/>
          <w:sz w:val="24"/>
        </w:rPr>
        <w:t xml:space="preserve"> (“camino”) y </w:t>
      </w:r>
      <w:r w:rsidRPr="0042205D">
        <w:rPr>
          <w:rFonts w:ascii="Arial" w:hAnsi="Arial" w:cs="Arial"/>
          <w:bCs/>
          <w:i/>
          <w:iCs/>
          <w:sz w:val="24"/>
        </w:rPr>
        <w:t>logos</w:t>
      </w:r>
      <w:r w:rsidRPr="0042205D">
        <w:rPr>
          <w:rFonts w:ascii="Arial" w:hAnsi="Arial" w:cs="Arial"/>
          <w:bCs/>
          <w:sz w:val="24"/>
        </w:rPr>
        <w:t xml:space="preserve"> (“estudio”). El concepto hace referencia al plan de </w:t>
      </w:r>
      <w:r w:rsidRPr="00913A70">
        <w:rPr>
          <w:rFonts w:ascii="Arial" w:hAnsi="Arial" w:cs="Arial"/>
          <w:bCs/>
          <w:sz w:val="24"/>
        </w:rPr>
        <w:t>investigación</w:t>
      </w:r>
      <w:r w:rsidRPr="0042205D">
        <w:rPr>
          <w:rFonts w:ascii="Arial" w:hAnsi="Arial" w:cs="Arial"/>
          <w:bCs/>
          <w:sz w:val="24"/>
        </w:rPr>
        <w:t xml:space="preserve"> que permite cumplir ciertos objetivos en el marco de una ciencia. Cabe resaltar que la metodología también puede ser aplicada en el ámbito artístico, cuando se lleva a cabo una observación rigurosa. Por lo tanto, puede entenderse a la metodología como el conjunto de procedimientos que determinan una investigación de tipo científico o marcan el rumbo de una exposición doctrinal.</w:t>
      </w:r>
    </w:p>
    <w:p w:rsidR="002B6511" w:rsidRPr="0042205D" w:rsidRDefault="002B6511" w:rsidP="00913A70">
      <w:pPr>
        <w:spacing w:line="360" w:lineRule="auto"/>
        <w:jc w:val="center"/>
        <w:rPr>
          <w:rFonts w:ascii="Arial" w:hAnsi="Arial" w:cs="Arial"/>
          <w:b/>
          <w:bCs/>
          <w:sz w:val="24"/>
        </w:rPr>
      </w:pPr>
      <w:r w:rsidRPr="0042205D">
        <w:rPr>
          <w:rFonts w:ascii="Arial" w:hAnsi="Arial" w:cs="Arial"/>
          <w:b/>
          <w:bCs/>
          <w:sz w:val="24"/>
        </w:rPr>
        <w:t>AUDITORIA FORENSE</w:t>
      </w:r>
    </w:p>
    <w:p w:rsidR="002B6511" w:rsidRPr="0042205D" w:rsidRDefault="002B6511" w:rsidP="00913A70">
      <w:pPr>
        <w:spacing w:line="360" w:lineRule="auto"/>
        <w:jc w:val="both"/>
        <w:rPr>
          <w:rFonts w:ascii="Arial" w:hAnsi="Arial" w:cs="Arial"/>
          <w:sz w:val="24"/>
        </w:rPr>
      </w:pPr>
      <w:r w:rsidRPr="0042205D">
        <w:rPr>
          <w:rFonts w:ascii="Arial" w:hAnsi="Arial" w:cs="Arial"/>
          <w:sz w:val="24"/>
          <w:lang w:val="es-DO"/>
        </w:rPr>
        <w:t xml:space="preserve">Es una alternativa para combatir la corrupción, porque permite que un experto emita ante los jueces conceptos y opiniones de valor técnico, que le permiten a la justicia actuar con mayor certeza, especialmente en lo relativo a la vigilancia de la gestión fiscal. </w:t>
      </w:r>
    </w:p>
    <w:p w:rsidR="00BE1A03" w:rsidRPr="0042205D" w:rsidRDefault="002B6511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42205D">
        <w:rPr>
          <w:rFonts w:ascii="Arial" w:hAnsi="Arial" w:cs="Arial"/>
          <w:color w:val="000000"/>
        </w:rPr>
        <w:t>Esta metodología está constituida por las actividades siguientes:</w:t>
      </w:r>
    </w:p>
    <w:p w:rsidR="00BE1A03" w:rsidRPr="0042205D" w:rsidRDefault="00BE1A03" w:rsidP="00913A70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b/>
          <w:color w:val="000000"/>
        </w:rPr>
        <w:t>Definición y reconocimiento del problema.</w:t>
      </w:r>
    </w:p>
    <w:p w:rsidR="00BE1A03" w:rsidRPr="0042205D" w:rsidRDefault="008E6376" w:rsidP="00913A70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 xml:space="preserve">El entorno de la entidad </w:t>
      </w:r>
    </w:p>
    <w:p w:rsidR="00A90424" w:rsidRPr="0042205D" w:rsidRDefault="008E6376" w:rsidP="00913A70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 xml:space="preserve">La entidad en su interior </w:t>
      </w:r>
    </w:p>
    <w:p w:rsidR="003D7323" w:rsidRPr="0042205D" w:rsidRDefault="003D7323" w:rsidP="00913A70">
      <w:pPr>
        <w:pStyle w:val="NormalWeb"/>
        <w:spacing w:before="0" w:beforeAutospacing="0" w:after="0" w:afterAutospacing="0" w:line="360" w:lineRule="auto"/>
        <w:ind w:left="1440"/>
        <w:jc w:val="both"/>
        <w:rPr>
          <w:rFonts w:ascii="Arial" w:hAnsi="Arial" w:cs="Arial"/>
          <w:b/>
          <w:color w:val="000000"/>
        </w:rPr>
      </w:pPr>
    </w:p>
    <w:p w:rsidR="003D7323" w:rsidRPr="00913A70" w:rsidRDefault="00BE1A03" w:rsidP="00913A70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b/>
          <w:color w:val="000000"/>
        </w:rPr>
        <w:t>Recopilación de evidencias de fraude.</w:t>
      </w:r>
      <w:r w:rsidR="008E6376" w:rsidRPr="0042205D">
        <w:rPr>
          <w:rFonts w:ascii="Arial" w:hAnsi="Arial" w:cs="Arial"/>
          <w:b/>
          <w:color w:val="000000"/>
        </w:rPr>
        <w:t xml:space="preserve"> (Causas de vulnerabilidad)</w:t>
      </w:r>
    </w:p>
    <w:p w:rsidR="00BE1A03" w:rsidRPr="0042205D" w:rsidRDefault="00913A70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</w:t>
      </w:r>
      <w:r w:rsidR="00BE1A03" w:rsidRPr="0042205D">
        <w:rPr>
          <w:rFonts w:ascii="Arial" w:hAnsi="Arial" w:cs="Arial"/>
          <w:b/>
          <w:color w:val="000000"/>
        </w:rPr>
        <w:t>3. Evaluación de la evidencia recolectada.</w:t>
      </w:r>
    </w:p>
    <w:p w:rsidR="008E6376" w:rsidRPr="0042205D" w:rsidRDefault="008E6376" w:rsidP="00913A70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>Obtención de evidencia probatoria y confiable</w:t>
      </w:r>
    </w:p>
    <w:p w:rsidR="003D7323" w:rsidRPr="00913A70" w:rsidRDefault="008E6376" w:rsidP="00913A70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 xml:space="preserve">Tipos principales de evidencia: testimonial o documental, evidencia por computadora, física, analítica, directa, circunstancial, documentaria, secundaria. </w:t>
      </w:r>
    </w:p>
    <w:p w:rsidR="00BE1A03" w:rsidRPr="0042205D" w:rsidRDefault="00913A70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</w:t>
      </w:r>
      <w:r w:rsidR="00BE1A03" w:rsidRPr="0042205D">
        <w:rPr>
          <w:rFonts w:ascii="Arial" w:hAnsi="Arial" w:cs="Arial"/>
          <w:b/>
          <w:color w:val="000000"/>
        </w:rPr>
        <w:t>4. Elaboración del informe final con los hallazgos.</w:t>
      </w:r>
    </w:p>
    <w:p w:rsidR="008E6376" w:rsidRPr="0042205D" w:rsidRDefault="008E6376" w:rsidP="00913A70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>Preciso, oportuno, exhaustivo, imparcial, claro, relevante y completo.</w:t>
      </w:r>
    </w:p>
    <w:p w:rsidR="003D7323" w:rsidRPr="00913A70" w:rsidRDefault="008E6376" w:rsidP="00913A70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 xml:space="preserve">Comunicación de los hallazgos a instancias pertinentes </w:t>
      </w:r>
    </w:p>
    <w:p w:rsidR="00BE1A03" w:rsidRPr="0042205D" w:rsidRDefault="00913A70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   </w:t>
      </w:r>
      <w:r w:rsidR="00BE1A03" w:rsidRPr="0042205D">
        <w:rPr>
          <w:rFonts w:ascii="Arial" w:hAnsi="Arial" w:cs="Arial"/>
          <w:b/>
          <w:color w:val="000000"/>
        </w:rPr>
        <w:t>5. Evaluación del riesgo forense.</w:t>
      </w:r>
    </w:p>
    <w:p w:rsidR="003D7323" w:rsidRPr="0042205D" w:rsidRDefault="003D7323" w:rsidP="00913A70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 xml:space="preserve">Establecimiento de áreas de riesgo </w:t>
      </w:r>
    </w:p>
    <w:p w:rsidR="003D7323" w:rsidRPr="00913A70" w:rsidRDefault="003D7323" w:rsidP="00913A70">
      <w:pPr>
        <w:pStyle w:val="NormalWeb"/>
        <w:numPr>
          <w:ilvl w:val="0"/>
          <w:numId w:val="5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>Análisis de riesgo (bajo, medio, alto)</w:t>
      </w:r>
    </w:p>
    <w:p w:rsidR="00913A70" w:rsidRPr="0042205D" w:rsidRDefault="00913A70" w:rsidP="00913A70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b/>
          <w:color w:val="000000"/>
        </w:rPr>
      </w:pPr>
    </w:p>
    <w:p w:rsidR="00913A70" w:rsidRPr="0042205D" w:rsidRDefault="00913A70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</w:t>
      </w:r>
      <w:r w:rsidR="00BE1A03" w:rsidRPr="0042205D">
        <w:rPr>
          <w:rFonts w:ascii="Arial" w:hAnsi="Arial" w:cs="Arial"/>
          <w:b/>
          <w:color w:val="000000"/>
        </w:rPr>
        <w:t>6. Detección de fraude.</w:t>
      </w:r>
    </w:p>
    <w:p w:rsidR="003D7323" w:rsidRPr="0042205D" w:rsidRDefault="003D7323" w:rsidP="00913A70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 xml:space="preserve">Indicadores o indicios de fraude </w:t>
      </w:r>
    </w:p>
    <w:p w:rsidR="003D7323" w:rsidRPr="0042205D" w:rsidRDefault="003D7323" w:rsidP="00913A70">
      <w:pPr>
        <w:pStyle w:val="NormalWeb"/>
        <w:spacing w:line="360" w:lineRule="auto"/>
        <w:ind w:left="720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 xml:space="preserve">El auditor busca la evidencia de auditoria suficiente y competente que le asegure que no se ha producido un fraude o error que tenga efecto material en los estados financieros o que de haberse producido, el efecto del fraude se refleja adecuadamente en los estados financieros o que el error a sido corregido. </w:t>
      </w:r>
      <w:r w:rsidRPr="0042205D">
        <w:rPr>
          <w:rFonts w:ascii="Arial" w:hAnsi="Arial" w:cs="Arial"/>
          <w:color w:val="FF0000"/>
          <w:lang w:val="es-SV"/>
        </w:rPr>
        <w:t xml:space="preserve">Indicadores =banderas rojas </w:t>
      </w:r>
    </w:p>
    <w:p w:rsidR="0042205D" w:rsidRPr="0042205D" w:rsidRDefault="003D7323" w:rsidP="00913A70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 xml:space="preserve">Podemos caracterizar las banderas rojas de la siguiente forma: </w:t>
      </w:r>
    </w:p>
    <w:p w:rsidR="0042205D" w:rsidRPr="0042205D" w:rsidRDefault="003D7323" w:rsidP="00913A70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 xml:space="preserve">-no necesariamente deben ser </w:t>
      </w:r>
      <w:r w:rsidR="0042205D" w:rsidRPr="0042205D">
        <w:rPr>
          <w:rFonts w:ascii="Arial" w:hAnsi="Arial" w:cs="Arial"/>
          <w:color w:val="000000"/>
          <w:lang w:val="es-SV"/>
        </w:rPr>
        <w:t>significativas.</w:t>
      </w:r>
    </w:p>
    <w:p w:rsidR="003D7323" w:rsidRPr="0042205D" w:rsidRDefault="003D7323" w:rsidP="00913A70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>-no establecen la existencia de irregul</w:t>
      </w:r>
      <w:r w:rsidR="0042205D" w:rsidRPr="0042205D">
        <w:rPr>
          <w:rFonts w:ascii="Arial" w:hAnsi="Arial" w:cs="Arial"/>
          <w:color w:val="000000"/>
          <w:lang w:val="es-SV"/>
        </w:rPr>
        <w:t xml:space="preserve">aridades por si mismas pero </w:t>
      </w:r>
      <w:r w:rsidRPr="0042205D">
        <w:rPr>
          <w:rFonts w:ascii="Arial" w:hAnsi="Arial" w:cs="Arial"/>
          <w:color w:val="000000"/>
          <w:lang w:val="es-SV"/>
        </w:rPr>
        <w:t xml:space="preserve">constituyen un alerta para el auditor </w:t>
      </w:r>
    </w:p>
    <w:p w:rsidR="003D7323" w:rsidRPr="00913A70" w:rsidRDefault="003D7323" w:rsidP="00913A70">
      <w:pPr>
        <w:pStyle w:val="NormalWeb"/>
        <w:spacing w:before="0" w:beforeAutospacing="0" w:after="0" w:afterAutospacing="0" w:line="360" w:lineRule="auto"/>
        <w:ind w:left="720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>-No se deben descartar  situaciones  por parecer demasiado obvias</w:t>
      </w:r>
    </w:p>
    <w:p w:rsidR="003D7323" w:rsidRPr="0042205D" w:rsidRDefault="003D7323" w:rsidP="00913A70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</w:rPr>
        <w:t xml:space="preserve">Documentales, del proceso, conceptuales, personales </w:t>
      </w:r>
    </w:p>
    <w:p w:rsidR="003D7323" w:rsidRPr="0042205D" w:rsidRDefault="003D7323" w:rsidP="00913A70">
      <w:pPr>
        <w:pStyle w:val="NormalWeb"/>
        <w:spacing w:before="0" w:beforeAutospacing="0" w:after="0" w:afterAutospacing="0" w:line="360" w:lineRule="auto"/>
        <w:ind w:left="360"/>
        <w:jc w:val="both"/>
        <w:rPr>
          <w:rFonts w:ascii="Arial" w:hAnsi="Arial" w:cs="Arial"/>
          <w:b/>
          <w:color w:val="000000"/>
        </w:rPr>
      </w:pPr>
    </w:p>
    <w:p w:rsidR="00913A70" w:rsidRDefault="00913A70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</w:t>
      </w:r>
      <w:r w:rsidR="00BE1A03" w:rsidRPr="0042205D">
        <w:rPr>
          <w:rFonts w:ascii="Arial" w:hAnsi="Arial" w:cs="Arial"/>
          <w:b/>
          <w:color w:val="000000"/>
        </w:rPr>
        <w:t>7. Evaluación del Sistema de Control Interno.</w:t>
      </w:r>
    </w:p>
    <w:p w:rsidR="0071449A" w:rsidRPr="00913A70" w:rsidRDefault="0042205D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  <w:r w:rsidRPr="0042205D">
        <w:rPr>
          <w:rFonts w:ascii="Arial" w:hAnsi="Arial" w:cs="Arial"/>
          <w:color w:val="000000"/>
          <w:lang w:val="es-SV"/>
        </w:rPr>
        <w:t xml:space="preserve">Nos ayuda a identificar a los posibles responsables de las operaciones fraudulentas (que pueden ser de la misma organización o con terceros relacionados) esta comprensión será necesaria para </w:t>
      </w:r>
    </w:p>
    <w:p w:rsidR="0071449A" w:rsidRPr="0042205D" w:rsidRDefault="0042205D" w:rsidP="00913A70">
      <w:pPr>
        <w:pStyle w:val="NormalWeb"/>
        <w:numPr>
          <w:ilvl w:val="0"/>
          <w:numId w:val="8"/>
        </w:numPr>
        <w:spacing w:before="0" w:line="360" w:lineRule="auto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>Planificar la Investigación</w:t>
      </w:r>
    </w:p>
    <w:p w:rsidR="0071449A" w:rsidRPr="0042205D" w:rsidRDefault="0042205D" w:rsidP="00913A70">
      <w:pPr>
        <w:pStyle w:val="NormalWeb"/>
        <w:numPr>
          <w:ilvl w:val="0"/>
          <w:numId w:val="8"/>
        </w:numPr>
        <w:spacing w:before="0" w:line="360" w:lineRule="auto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>Que el control Interno opera de acuerdo a su diseño original</w:t>
      </w:r>
    </w:p>
    <w:p w:rsidR="0071449A" w:rsidRPr="0042205D" w:rsidRDefault="0042205D" w:rsidP="00913A70">
      <w:pPr>
        <w:pStyle w:val="NormalWeb"/>
        <w:numPr>
          <w:ilvl w:val="0"/>
          <w:numId w:val="8"/>
        </w:numPr>
        <w:spacing w:before="0" w:line="360" w:lineRule="auto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 xml:space="preserve">Comprobar la adecuada salvaguarda de activos  y recursos de la organización </w:t>
      </w:r>
    </w:p>
    <w:p w:rsidR="0071449A" w:rsidRPr="0042205D" w:rsidRDefault="0042205D" w:rsidP="00913A70">
      <w:pPr>
        <w:pStyle w:val="NormalWeb"/>
        <w:numPr>
          <w:ilvl w:val="0"/>
          <w:numId w:val="8"/>
        </w:numPr>
        <w:spacing w:before="0" w:line="360" w:lineRule="auto"/>
        <w:jc w:val="both"/>
        <w:rPr>
          <w:rFonts w:ascii="Arial" w:hAnsi="Arial" w:cs="Arial"/>
          <w:color w:val="000000"/>
          <w:lang w:val="es-SV"/>
        </w:rPr>
      </w:pPr>
      <w:r w:rsidRPr="0042205D">
        <w:rPr>
          <w:rFonts w:ascii="Arial" w:hAnsi="Arial" w:cs="Arial"/>
          <w:color w:val="000000"/>
          <w:lang w:val="es-SV"/>
        </w:rPr>
        <w:t xml:space="preserve">Visualizar el debido cumplimiento de las regulaciones locales y el estricto cumplimiento de la ley. </w:t>
      </w:r>
    </w:p>
    <w:p w:rsidR="0042205D" w:rsidRPr="0042205D" w:rsidRDefault="0042205D" w:rsidP="00913A70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</w:p>
    <w:sectPr w:rsidR="0042205D" w:rsidRPr="0042205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BB9" w:rsidRDefault="00B22CD2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E41BB9" w:rsidRDefault="00B22CD2">
    <w:pPr>
      <w:pStyle w:val="Piedep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BB9" w:rsidRDefault="00B22CD2">
    <w:pPr>
      <w:pStyle w:val="Encabezado"/>
      <w:jc w:val="center"/>
    </w:pPr>
  </w:p>
  <w:p w:rsidR="006933BC" w:rsidRDefault="00B22CD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710D2"/>
    <w:multiLevelType w:val="hybridMultilevel"/>
    <w:tmpl w:val="F5EE65E4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1596D"/>
    <w:multiLevelType w:val="hybridMultilevel"/>
    <w:tmpl w:val="E690AF58"/>
    <w:lvl w:ilvl="0" w:tplc="5F1AC82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6C6C58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6B0F2B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1522FE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50CE37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A6713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0EBCE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82C72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C0077E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2EA064A5"/>
    <w:multiLevelType w:val="hybridMultilevel"/>
    <w:tmpl w:val="A04ADF0A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14F44"/>
    <w:multiLevelType w:val="hybridMultilevel"/>
    <w:tmpl w:val="6376065E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B4830"/>
    <w:multiLevelType w:val="hybridMultilevel"/>
    <w:tmpl w:val="300A4490"/>
    <w:lvl w:ilvl="0" w:tplc="440A0017">
      <w:start w:val="1"/>
      <w:numFmt w:val="lowerLetter"/>
      <w:lvlText w:val="%1)"/>
      <w:lvlJc w:val="left"/>
      <w:pPr>
        <w:ind w:left="1440" w:hanging="360"/>
      </w:p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23E3957"/>
    <w:multiLevelType w:val="hybridMultilevel"/>
    <w:tmpl w:val="E15AFA86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C1FF2"/>
    <w:multiLevelType w:val="hybridMultilevel"/>
    <w:tmpl w:val="AC664A0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7756EE"/>
    <w:multiLevelType w:val="hybridMultilevel"/>
    <w:tmpl w:val="651A0B0C"/>
    <w:lvl w:ilvl="0" w:tplc="29728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8C7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FE8EE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962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E95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AC0F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28F6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47A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8EB3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2A1"/>
    <w:rsid w:val="00142396"/>
    <w:rsid w:val="002342A1"/>
    <w:rsid w:val="002B6511"/>
    <w:rsid w:val="003D7323"/>
    <w:rsid w:val="0042205D"/>
    <w:rsid w:val="006A3F80"/>
    <w:rsid w:val="0071449A"/>
    <w:rsid w:val="008E6376"/>
    <w:rsid w:val="00913A70"/>
    <w:rsid w:val="00A90424"/>
    <w:rsid w:val="00B22CD2"/>
    <w:rsid w:val="00BE1A03"/>
    <w:rsid w:val="00DE0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6C8CAC-A265-4F60-B145-CE34236C8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ar"/>
    <w:semiHidden/>
    <w:unhideWhenUsed/>
    <w:qFormat/>
    <w:rsid w:val="00B22CD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B6511"/>
    <w:rPr>
      <w:color w:val="0563C1" w:themeColor="hyperlink"/>
      <w:u w:val="single"/>
    </w:rPr>
  </w:style>
  <w:style w:type="paragraph" w:styleId="NormalWeb">
    <w:name w:val="Normal (Web)"/>
    <w:basedOn w:val="Normal"/>
    <w:rsid w:val="002B6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3D7323"/>
    <w:pPr>
      <w:ind w:left="720"/>
      <w:contextualSpacing/>
    </w:pPr>
  </w:style>
  <w:style w:type="character" w:customStyle="1" w:styleId="Ttulo4Car">
    <w:name w:val="Título 4 Car"/>
    <w:basedOn w:val="Fuentedeprrafopredeter"/>
    <w:link w:val="Ttulo4"/>
    <w:semiHidden/>
    <w:rsid w:val="00B22CD2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B22CD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B22CD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B22CD2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22CD2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6046">
          <w:marLeft w:val="70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3293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5167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338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447">
          <w:marLeft w:val="90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553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Luis</dc:creator>
  <cp:keywords/>
  <dc:description/>
  <cp:lastModifiedBy>Leslie Gomez</cp:lastModifiedBy>
  <cp:revision>5</cp:revision>
  <dcterms:created xsi:type="dcterms:W3CDTF">2016-06-30T16:51:00Z</dcterms:created>
  <dcterms:modified xsi:type="dcterms:W3CDTF">2016-07-01T14:55:00Z</dcterms:modified>
</cp:coreProperties>
</file>