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6E0" w:rsidRPr="00346A66" w:rsidRDefault="00D876E0" w:rsidP="00D876E0">
      <w:pPr>
        <w:pStyle w:val="NormalWeb"/>
        <w:ind w:left="709" w:hanging="709"/>
        <w:jc w:val="both"/>
        <w:rPr>
          <w:rFonts w:ascii="Arial Narrow" w:hAnsi="Arial Narrow"/>
          <w:b/>
          <w:sz w:val="28"/>
          <w:szCs w:val="28"/>
        </w:rPr>
      </w:pPr>
      <w:r w:rsidRPr="00346A66">
        <w:rPr>
          <w:rFonts w:ascii="Arial Narrow" w:hAnsi="Arial Narrow"/>
          <w:b/>
          <w:sz w:val="28"/>
          <w:szCs w:val="28"/>
        </w:rPr>
        <w:t>AUDITORIA RESEÑA HISTORICA</w:t>
      </w:r>
    </w:p>
    <w:p w:rsidR="00D876E0" w:rsidRPr="00346A66" w:rsidRDefault="00D876E0" w:rsidP="00D876E0">
      <w:pPr>
        <w:jc w:val="both"/>
        <w:rPr>
          <w:rFonts w:ascii="Arial Narrow" w:hAnsi="Arial Narrow"/>
          <w:b/>
          <w:sz w:val="24"/>
          <w:szCs w:val="24"/>
        </w:rPr>
      </w:pPr>
      <w:r w:rsidRPr="00346A66">
        <w:rPr>
          <w:rFonts w:ascii="Arial Narrow" w:hAnsi="Arial Narrow"/>
          <w:sz w:val="24"/>
          <w:szCs w:val="24"/>
        </w:rPr>
        <w:t>Para: http://www.monografias.com/trabajos65/auditoria-forense/auditoria-forense2.shtml</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 xml:space="preserve">Durante la </w:t>
      </w:r>
      <w:hyperlink r:id="rId6" w:history="1">
        <w:r w:rsidRPr="00346A66">
          <w:rPr>
            <w:rStyle w:val="Hipervnculo"/>
            <w:rFonts w:ascii="Arial Narrow" w:hAnsi="Arial Narrow"/>
            <w:color w:val="auto"/>
            <w:u w:val="none"/>
          </w:rPr>
          <w:t>Revolución</w:t>
        </w:r>
      </w:hyperlink>
      <w:r w:rsidRPr="00346A66">
        <w:rPr>
          <w:rFonts w:ascii="Arial Narrow" w:hAnsi="Arial Narrow"/>
        </w:rPr>
        <w:t xml:space="preserve"> Industrial a medida que el tamaño de las </w:t>
      </w:r>
      <w:hyperlink r:id="rId7" w:history="1">
        <w:r w:rsidRPr="00346A66">
          <w:rPr>
            <w:rStyle w:val="Hipervnculo"/>
            <w:rFonts w:ascii="Arial Narrow" w:hAnsi="Arial Narrow"/>
            <w:color w:val="auto"/>
            <w:u w:val="none"/>
          </w:rPr>
          <w:t>empresas</w:t>
        </w:r>
      </w:hyperlink>
      <w:r w:rsidRPr="00346A66">
        <w:rPr>
          <w:rFonts w:ascii="Arial Narrow" w:hAnsi="Arial Narrow"/>
        </w:rPr>
        <w:t xml:space="preserve"> aumentaba sus propietarios empezaron a utilizar </w:t>
      </w:r>
      <w:hyperlink r:id="rId8" w:history="1">
        <w:r w:rsidRPr="00346A66">
          <w:rPr>
            <w:rStyle w:val="Hipervnculo"/>
            <w:rFonts w:ascii="Arial Narrow" w:hAnsi="Arial Narrow"/>
            <w:color w:val="auto"/>
            <w:u w:val="none"/>
          </w:rPr>
          <w:t>servicios</w:t>
        </w:r>
      </w:hyperlink>
      <w:r w:rsidRPr="00346A66">
        <w:rPr>
          <w:rFonts w:ascii="Arial Narrow" w:hAnsi="Arial Narrow"/>
        </w:rPr>
        <w:t xml:space="preserve"> de gerentes contratados.  Con la separación de </w:t>
      </w:r>
      <w:hyperlink r:id="rId9" w:history="1">
        <w:r w:rsidRPr="00346A66">
          <w:rPr>
            <w:rStyle w:val="Hipervnculo"/>
            <w:rFonts w:ascii="Arial Narrow" w:hAnsi="Arial Narrow"/>
            <w:color w:val="auto"/>
            <w:u w:val="none"/>
          </w:rPr>
          <w:t>propiedad</w:t>
        </w:r>
      </w:hyperlink>
      <w:r w:rsidRPr="00346A66">
        <w:rPr>
          <w:rFonts w:ascii="Arial Narrow" w:hAnsi="Arial Narrow"/>
        </w:rPr>
        <w:t xml:space="preserve"> y </w:t>
      </w:r>
      <w:hyperlink r:id="rId10" w:history="1">
        <w:r w:rsidRPr="00346A66">
          <w:rPr>
            <w:rStyle w:val="Hipervnculo"/>
            <w:rFonts w:ascii="Arial Narrow" w:hAnsi="Arial Narrow"/>
            <w:color w:val="auto"/>
            <w:u w:val="none"/>
          </w:rPr>
          <w:t>gerencia</w:t>
        </w:r>
      </w:hyperlink>
      <w:r w:rsidRPr="00346A66">
        <w:rPr>
          <w:rFonts w:ascii="Arial Narrow" w:hAnsi="Arial Narrow"/>
        </w:rPr>
        <w:t xml:space="preserve">, los ausentes propietarios acudieron a los auditores para detectar errores operativos y posibles fraudes. Los </w:t>
      </w:r>
      <w:hyperlink r:id="rId11" w:history="1">
        <w:r w:rsidRPr="00346A66">
          <w:rPr>
            <w:rStyle w:val="Hipervnculo"/>
            <w:rFonts w:ascii="Arial Narrow" w:hAnsi="Arial Narrow"/>
            <w:color w:val="auto"/>
            <w:u w:val="none"/>
          </w:rPr>
          <w:t>bancos</w:t>
        </w:r>
      </w:hyperlink>
      <w:r w:rsidRPr="00346A66">
        <w:rPr>
          <w:rFonts w:ascii="Arial Narrow" w:hAnsi="Arial Narrow"/>
        </w:rPr>
        <w:t xml:space="preserve"> fueron los principales usuarios externos de los </w:t>
      </w:r>
      <w:hyperlink r:id="rId12" w:history="1">
        <w:r w:rsidRPr="00346A66">
          <w:rPr>
            <w:rStyle w:val="Hipervnculo"/>
            <w:rFonts w:ascii="Arial Narrow" w:hAnsi="Arial Narrow"/>
            <w:color w:val="auto"/>
            <w:u w:val="none"/>
          </w:rPr>
          <w:t>informes</w:t>
        </w:r>
      </w:hyperlink>
      <w:r w:rsidRPr="00346A66">
        <w:rPr>
          <w:rFonts w:ascii="Arial Narrow" w:hAnsi="Arial Narrow"/>
        </w:rPr>
        <w:t xml:space="preserve"> financieros. Antes del 1900 la </w:t>
      </w:r>
      <w:hyperlink r:id="rId13" w:history="1">
        <w:r w:rsidRPr="00346A66">
          <w:rPr>
            <w:rStyle w:val="Hipervnculo"/>
            <w:rFonts w:ascii="Arial Narrow" w:hAnsi="Arial Narrow"/>
            <w:color w:val="auto"/>
            <w:u w:val="none"/>
          </w:rPr>
          <w:t>auditoría</w:t>
        </w:r>
      </w:hyperlink>
      <w:r w:rsidRPr="00346A66">
        <w:rPr>
          <w:rFonts w:ascii="Arial Narrow" w:hAnsi="Arial Narrow"/>
        </w:rPr>
        <w:t xml:space="preserve"> tenía como </w:t>
      </w:r>
      <w:hyperlink r:id="rId14" w:history="1">
        <w:r w:rsidRPr="00346A66">
          <w:rPr>
            <w:rStyle w:val="Hipervnculo"/>
            <w:rFonts w:ascii="Arial Narrow" w:hAnsi="Arial Narrow"/>
            <w:color w:val="auto"/>
            <w:u w:val="none"/>
          </w:rPr>
          <w:t>objetivo</w:t>
        </w:r>
      </w:hyperlink>
      <w:r w:rsidRPr="00346A66">
        <w:rPr>
          <w:rFonts w:ascii="Arial Narrow" w:hAnsi="Arial Narrow"/>
        </w:rPr>
        <w:t xml:space="preserve"> principal detectar errores y fraudes, con frecuencia incluían el estudio de todas o casi todas las transacciones registradas.</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 xml:space="preserve">El término forense corresponde al latín </w:t>
      </w:r>
      <w:proofErr w:type="spellStart"/>
      <w:r w:rsidRPr="00346A66">
        <w:rPr>
          <w:rFonts w:ascii="Arial Narrow" w:hAnsi="Arial Narrow"/>
          <w:b/>
          <w:bCs/>
          <w:i/>
          <w:iCs/>
        </w:rPr>
        <w:t>forensis</w:t>
      </w:r>
      <w:proofErr w:type="spellEnd"/>
      <w:r w:rsidRPr="00346A66">
        <w:rPr>
          <w:rFonts w:ascii="Arial Narrow" w:hAnsi="Arial Narrow"/>
        </w:rPr>
        <w:t xml:space="preserve">, que significa público, y complementando su significado podemos remitirnos a su origen </w:t>
      </w:r>
      <w:proofErr w:type="spellStart"/>
      <w:r w:rsidRPr="00346A66">
        <w:rPr>
          <w:rFonts w:ascii="Arial Narrow" w:hAnsi="Arial Narrow"/>
          <w:b/>
          <w:bCs/>
          <w:i/>
          <w:iCs/>
        </w:rPr>
        <w:t>forum</w:t>
      </w:r>
      <w:proofErr w:type="spellEnd"/>
      <w:r w:rsidRPr="00346A66">
        <w:rPr>
          <w:rFonts w:ascii="Arial Narrow" w:hAnsi="Arial Narrow"/>
        </w:rPr>
        <w:t xml:space="preserve"> del latín que significa </w:t>
      </w:r>
      <w:hyperlink r:id="rId15" w:history="1">
        <w:r w:rsidRPr="00346A66">
          <w:rPr>
            <w:rStyle w:val="Hipervnculo"/>
            <w:rFonts w:ascii="Arial Narrow" w:hAnsi="Arial Narrow"/>
            <w:color w:val="auto"/>
            <w:u w:val="none"/>
          </w:rPr>
          <w:t>foro</w:t>
        </w:r>
      </w:hyperlink>
      <w:r w:rsidRPr="00346A66">
        <w:rPr>
          <w:rFonts w:ascii="Arial Narrow" w:hAnsi="Arial Narrow"/>
        </w:rPr>
        <w:t xml:space="preserve">, plaza pública o de mercado de las antiguas ciudades romanas donde se trataban las asambleas públicas y los juicios; lo forense se vincula con lo relativo al derecho y la aplicación de la ley, en la medida que se busca que un profesional idóneo asista al juez en asuntos legales que le competan y para ello aporte pruebas de </w:t>
      </w:r>
      <w:hyperlink r:id="rId16" w:history="1">
        <w:r w:rsidRPr="00346A66">
          <w:rPr>
            <w:rStyle w:val="Hipervnculo"/>
            <w:rFonts w:ascii="Arial Narrow" w:hAnsi="Arial Narrow"/>
            <w:color w:val="auto"/>
            <w:u w:val="none"/>
          </w:rPr>
          <w:t>carácter</w:t>
        </w:r>
      </w:hyperlink>
      <w:r w:rsidRPr="00346A66">
        <w:rPr>
          <w:rFonts w:ascii="Arial Narrow" w:hAnsi="Arial Narrow"/>
        </w:rPr>
        <w:t xml:space="preserve"> público para representar en un juzgado o Corte Superior.</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 xml:space="preserve">En términos de investigación contable y de </w:t>
      </w:r>
      <w:hyperlink r:id="rId17" w:history="1">
        <w:r w:rsidRPr="00346A66">
          <w:rPr>
            <w:rStyle w:val="Hipervnculo"/>
            <w:rFonts w:ascii="Arial Narrow" w:hAnsi="Arial Narrow"/>
            <w:color w:val="auto"/>
            <w:u w:val="none"/>
          </w:rPr>
          <w:t>procedimientos</w:t>
        </w:r>
      </w:hyperlink>
      <w:r w:rsidRPr="00346A66">
        <w:rPr>
          <w:rFonts w:ascii="Arial Narrow" w:hAnsi="Arial Narrow"/>
        </w:rPr>
        <w:t xml:space="preserve"> de auditoría, la relación con lo forense se hace estrecha cuando hablamos de la </w:t>
      </w:r>
      <w:r w:rsidRPr="00346A66">
        <w:rPr>
          <w:rFonts w:ascii="Arial Narrow" w:hAnsi="Arial Narrow"/>
          <w:i/>
          <w:iCs/>
        </w:rPr>
        <w:t>contaduría forense,</w:t>
      </w:r>
      <w:r w:rsidRPr="00346A66">
        <w:rPr>
          <w:rFonts w:ascii="Arial Narrow" w:hAnsi="Arial Narrow"/>
        </w:rPr>
        <w:t xml:space="preserve"> encaminada a aportar pruebas y evidencias de tipo penal, por lo tanto se define inicialmente a la auditoria forense como una auditoria especializada en descubrir, divulgar y atestar sobre fraudes y delitos en el desarrollo de las </w:t>
      </w:r>
      <w:hyperlink r:id="rId18" w:history="1">
        <w:r w:rsidRPr="00346A66">
          <w:rPr>
            <w:rStyle w:val="Hipervnculo"/>
            <w:rFonts w:ascii="Arial Narrow" w:hAnsi="Arial Narrow"/>
            <w:color w:val="auto"/>
            <w:u w:val="none"/>
          </w:rPr>
          <w:t>funciones</w:t>
        </w:r>
      </w:hyperlink>
      <w:r w:rsidRPr="00346A66">
        <w:rPr>
          <w:rFonts w:ascii="Arial Narrow" w:hAnsi="Arial Narrow"/>
        </w:rPr>
        <w:t xml:space="preserve"> públicas y privadas; algunos tipos de fraude en la </w:t>
      </w:r>
      <w:hyperlink r:id="rId19" w:anchor="que" w:history="1">
        <w:r w:rsidRPr="00346A66">
          <w:rPr>
            <w:rStyle w:val="Hipervnculo"/>
            <w:rFonts w:ascii="Arial Narrow" w:hAnsi="Arial Narrow"/>
            <w:color w:val="auto"/>
            <w:u w:val="none"/>
          </w:rPr>
          <w:t>administración pública</w:t>
        </w:r>
      </w:hyperlink>
      <w:r w:rsidRPr="00346A66">
        <w:rPr>
          <w:rFonts w:ascii="Arial Narrow" w:hAnsi="Arial Narrow"/>
        </w:rPr>
        <w:t xml:space="preserve"> son: </w:t>
      </w:r>
      <w:hyperlink r:id="rId20" w:history="1">
        <w:r w:rsidRPr="00346A66">
          <w:rPr>
            <w:rStyle w:val="Hipervnculo"/>
            <w:rFonts w:ascii="Arial Narrow" w:hAnsi="Arial Narrow"/>
            <w:color w:val="auto"/>
            <w:u w:val="none"/>
          </w:rPr>
          <w:t>conflictos</w:t>
        </w:r>
      </w:hyperlink>
      <w:r w:rsidRPr="00346A66">
        <w:rPr>
          <w:rFonts w:ascii="Arial Narrow" w:hAnsi="Arial Narrow"/>
        </w:rPr>
        <w:t xml:space="preserve"> de intereses, nepotismo, gratificaciones, estados falsificados, omisiones, favoritismo, reclamaciones fraudulentas, falsificaciones, comisiones clandestinas, malversación de fondos, conspiración, prevaricato, peculado, </w:t>
      </w:r>
      <w:hyperlink r:id="rId21" w:history="1">
        <w:r w:rsidRPr="00346A66">
          <w:rPr>
            <w:rStyle w:val="Hipervnculo"/>
            <w:rFonts w:ascii="Arial Narrow" w:hAnsi="Arial Narrow"/>
            <w:color w:val="auto"/>
            <w:u w:val="none"/>
          </w:rPr>
          <w:t>cohecho</w:t>
        </w:r>
      </w:hyperlink>
      <w:r w:rsidRPr="00346A66">
        <w:rPr>
          <w:rFonts w:ascii="Arial Narrow" w:hAnsi="Arial Narrow"/>
        </w:rPr>
        <w:t xml:space="preserve">, soborno, sustitución, desfalco, personificación, extorsión, </w:t>
      </w:r>
      <w:hyperlink r:id="rId22" w:history="1">
        <w:r w:rsidRPr="00346A66">
          <w:rPr>
            <w:rStyle w:val="Hipervnculo"/>
            <w:rFonts w:ascii="Arial Narrow" w:hAnsi="Arial Narrow"/>
            <w:color w:val="auto"/>
            <w:u w:val="none"/>
          </w:rPr>
          <w:t>lavado de dinero</w:t>
        </w:r>
      </w:hyperlink>
      <w:r w:rsidRPr="00346A66">
        <w:rPr>
          <w:rFonts w:ascii="Arial Narrow" w:hAnsi="Arial Narrow"/>
        </w:rPr>
        <w:t>.</w:t>
      </w:r>
    </w:p>
    <w:p w:rsidR="00D876E0" w:rsidRPr="00346A66" w:rsidRDefault="00D876E0" w:rsidP="00D876E0">
      <w:pPr>
        <w:pStyle w:val="NormalWeb"/>
        <w:spacing w:line="360" w:lineRule="auto"/>
        <w:ind w:left="1446" w:hanging="709"/>
        <w:jc w:val="both"/>
        <w:rPr>
          <w:rFonts w:ascii="Arial Narrow" w:hAnsi="Arial Narrow"/>
        </w:rPr>
      </w:pPr>
    </w:p>
    <w:p w:rsidR="00D876E0" w:rsidRDefault="00D876E0" w:rsidP="00D876E0">
      <w:pPr>
        <w:pStyle w:val="NormalWeb"/>
        <w:spacing w:line="360" w:lineRule="auto"/>
        <w:ind w:left="1446" w:hanging="709"/>
        <w:rPr>
          <w:rFonts w:ascii="Arial Narrow" w:hAnsi="Arial Narrow"/>
          <w:bCs/>
          <w:i/>
          <w:iCs/>
        </w:rPr>
      </w:pPr>
    </w:p>
    <w:p w:rsidR="00D876E0" w:rsidRPr="00346A66" w:rsidRDefault="00D876E0" w:rsidP="00D876E0">
      <w:pPr>
        <w:pStyle w:val="NormalWeb"/>
        <w:spacing w:line="360" w:lineRule="auto"/>
        <w:ind w:left="1446" w:hanging="709"/>
        <w:rPr>
          <w:rFonts w:ascii="Arial Narrow" w:hAnsi="Arial Narrow"/>
        </w:rPr>
      </w:pPr>
      <w:r w:rsidRPr="00346A66">
        <w:rPr>
          <w:rFonts w:ascii="Arial Narrow" w:hAnsi="Arial Narrow"/>
          <w:bCs/>
          <w:i/>
          <w:iCs/>
        </w:rPr>
        <w:lastRenderedPageBreak/>
        <w:t>Apoyo procesal</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 xml:space="preserve">Va desde la asesoría, la </w:t>
      </w:r>
      <w:hyperlink r:id="rId23" w:anchor="CONSULT" w:history="1">
        <w:r w:rsidRPr="00346A66">
          <w:rPr>
            <w:rStyle w:val="Hipervnculo"/>
            <w:rFonts w:ascii="Arial Narrow" w:hAnsi="Arial Narrow"/>
            <w:color w:val="auto"/>
            <w:u w:val="none"/>
          </w:rPr>
          <w:t>consultoría</w:t>
        </w:r>
      </w:hyperlink>
      <w:r w:rsidRPr="00346A66">
        <w:rPr>
          <w:rFonts w:ascii="Arial Narrow" w:hAnsi="Arial Narrow"/>
        </w:rPr>
        <w:t xml:space="preserve">, la recaudación de pruebas o como testigo experto. Generalmente el título de contador acredita  a su tenedor como un experto en asuntos relacionados con la contabilidad. Sin embargo, en el mayor parte de los casos ventilados en un tribunal, el testimonio del contador se restringirá a aquella parte del trabajo de contabilidad que hubiere sido realizado por él, o bajo su directa </w:t>
      </w:r>
      <w:hyperlink r:id="rId24" w:history="1">
        <w:r w:rsidRPr="00346A66">
          <w:rPr>
            <w:rStyle w:val="Hipervnculo"/>
            <w:rFonts w:ascii="Arial Narrow" w:hAnsi="Arial Narrow"/>
            <w:color w:val="auto"/>
            <w:u w:val="none"/>
          </w:rPr>
          <w:t>supervisión</w:t>
        </w:r>
      </w:hyperlink>
      <w:r w:rsidRPr="00346A66">
        <w:rPr>
          <w:rFonts w:ascii="Arial Narrow" w:hAnsi="Arial Narrow"/>
        </w:rPr>
        <w:t xml:space="preserve"> y en su presencia.</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En ningún otro sector de la experiencia profesional; llega a ser tan significativa la independencia del contador como cuando es llamado como testigo experto. Cualquier indicio de parcialidad que deje adivinar su testimonio, desacreditará sus declaraciones y puede descalificarlo como testigo competente</w:t>
      </w:r>
    </w:p>
    <w:p w:rsidR="00D876E0" w:rsidRPr="00346A66" w:rsidRDefault="00D876E0" w:rsidP="00D876E0">
      <w:pPr>
        <w:pStyle w:val="NormalWeb"/>
        <w:ind w:left="905" w:hangingChars="322" w:hanging="905"/>
        <w:jc w:val="both"/>
        <w:rPr>
          <w:rFonts w:ascii="Arial Narrow" w:hAnsi="Arial Narrow"/>
          <w:b/>
          <w:sz w:val="28"/>
          <w:szCs w:val="28"/>
        </w:rPr>
      </w:pPr>
      <w:r w:rsidRPr="00346A66">
        <w:rPr>
          <w:rFonts w:ascii="Arial Narrow" w:hAnsi="Arial Narrow"/>
          <w:b/>
          <w:bCs/>
          <w:sz w:val="28"/>
          <w:szCs w:val="28"/>
        </w:rPr>
        <w:t>RESPONSABILIDADES Y RIESGOS DEL AUDITOR FORENSE</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 xml:space="preserve">Dada la naturaleza de la Auditoría Forense que desarrolla su trabajo en estrecho vínculo con la justicia es importante distinguir el tipo de compromiso que el auditor debe asumir. Por ejemplo: Una disputa es un </w:t>
      </w:r>
      <w:hyperlink r:id="rId25" w:history="1">
        <w:r w:rsidRPr="00346A66">
          <w:rPr>
            <w:rStyle w:val="Hipervnculo"/>
            <w:rFonts w:ascii="Arial Narrow" w:hAnsi="Arial Narrow"/>
            <w:color w:val="auto"/>
            <w:u w:val="none"/>
          </w:rPr>
          <w:t>conflicto</w:t>
        </w:r>
      </w:hyperlink>
      <w:r w:rsidRPr="00346A66">
        <w:rPr>
          <w:rFonts w:ascii="Arial Narrow" w:hAnsi="Arial Narrow"/>
        </w:rPr>
        <w:t xml:space="preserve"> entre partes que puede establecerse en la corte, fuera de ella o puede llevarse a una acción judicial. Una disputa judicial es un conflicto potencial entre las partes que incluye la sospecha del ilícito o actividad ilegal que si se materializa puede establecerse fuera de la corte o puede llevarse a los procedimientos judiciales.</w:t>
      </w:r>
    </w:p>
    <w:p w:rsidR="00D876E0" w:rsidRPr="00346A66" w:rsidRDefault="00D876E0" w:rsidP="00D876E0">
      <w:pPr>
        <w:pStyle w:val="NormalWeb"/>
        <w:ind w:left="905" w:hangingChars="322" w:hanging="905"/>
        <w:jc w:val="both"/>
        <w:rPr>
          <w:rFonts w:ascii="Arial Narrow" w:hAnsi="Arial Narrow"/>
          <w:sz w:val="28"/>
          <w:szCs w:val="28"/>
        </w:rPr>
      </w:pPr>
      <w:r w:rsidRPr="00346A66">
        <w:rPr>
          <w:rFonts w:ascii="Arial Narrow" w:hAnsi="Arial Narrow"/>
          <w:b/>
          <w:bCs/>
          <w:sz w:val="28"/>
          <w:szCs w:val="28"/>
        </w:rPr>
        <w:t>   EL PERFIL DEL AUDITOR FORENSE</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t>En adición a los conocimientos de contabilidad y auditoría habituales, para la formación del auditor forense se debe incluir aspectos de investigación legal y formación jurídica, con énfasis en la recolección de pruebas y evidencias.</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t xml:space="preserve">Asimismo, entre las principales </w:t>
      </w:r>
      <w:hyperlink r:id="rId26" w:history="1">
        <w:r w:rsidRPr="00346A66">
          <w:rPr>
            <w:rStyle w:val="Hipervnculo"/>
            <w:rFonts w:ascii="Arial Narrow" w:hAnsi="Arial Narrow" w:cs="Arial"/>
            <w:color w:val="auto"/>
            <w:u w:val="none"/>
          </w:rPr>
          <w:t>competencias</w:t>
        </w:r>
      </w:hyperlink>
      <w:r w:rsidRPr="00346A66">
        <w:rPr>
          <w:rFonts w:ascii="Arial Narrow" w:hAnsi="Arial Narrow" w:cs="Arial"/>
        </w:rPr>
        <w:t xml:space="preserve"> para asumir el compromiso de una auditoría forense, tenemos:</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t>Ser perspicaz,</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lastRenderedPageBreak/>
        <w:t xml:space="preserve">Conocimiento de </w:t>
      </w:r>
      <w:hyperlink r:id="rId27" w:history="1">
        <w:r w:rsidRPr="00346A66">
          <w:rPr>
            <w:rStyle w:val="Hipervnculo"/>
            <w:rFonts w:ascii="Arial Narrow" w:hAnsi="Arial Narrow" w:cs="Arial"/>
            <w:color w:val="auto"/>
            <w:u w:val="none"/>
          </w:rPr>
          <w:t>Psicología</w:t>
        </w:r>
      </w:hyperlink>
      <w:r w:rsidRPr="00346A66">
        <w:rPr>
          <w:rFonts w:ascii="Arial Narrow" w:hAnsi="Arial Narrow" w:cs="Arial"/>
        </w:rPr>
        <w:t>,</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t>Una mentalidad investigadora,</w:t>
      </w:r>
    </w:p>
    <w:p w:rsidR="00D876E0" w:rsidRPr="00346A66" w:rsidRDefault="00D876E0" w:rsidP="00D876E0">
      <w:pPr>
        <w:pStyle w:val="NormalWeb"/>
        <w:spacing w:line="360" w:lineRule="auto"/>
        <w:ind w:left="1446" w:hanging="709"/>
        <w:jc w:val="both"/>
        <w:rPr>
          <w:rFonts w:ascii="Arial Narrow" w:hAnsi="Arial Narrow" w:cs="Arial"/>
        </w:rPr>
      </w:pPr>
      <w:proofErr w:type="gramStart"/>
      <w:r w:rsidRPr="00346A66">
        <w:rPr>
          <w:rFonts w:ascii="Arial Narrow" w:hAnsi="Arial Narrow" w:cs="Arial"/>
        </w:rPr>
        <w:t xml:space="preserve">Mucha auto </w:t>
      </w:r>
      <w:hyperlink r:id="rId28" w:anchor="desa" w:history="1">
        <w:r w:rsidRPr="00346A66">
          <w:rPr>
            <w:rStyle w:val="Hipervnculo"/>
            <w:rFonts w:ascii="Arial Narrow" w:hAnsi="Arial Narrow" w:cs="Arial"/>
            <w:color w:val="auto"/>
            <w:u w:val="none"/>
          </w:rPr>
          <w:t>motivación</w:t>
        </w:r>
      </w:hyperlink>
      <w:proofErr w:type="gramEnd"/>
      <w:r w:rsidRPr="00346A66">
        <w:rPr>
          <w:rFonts w:ascii="Arial Narrow" w:hAnsi="Arial Narrow" w:cs="Arial"/>
        </w:rPr>
        <w:t>,</w:t>
      </w:r>
    </w:p>
    <w:p w:rsidR="00D876E0" w:rsidRPr="00346A66" w:rsidRDefault="00D876E0" w:rsidP="00D876E0">
      <w:pPr>
        <w:pStyle w:val="NormalWeb"/>
        <w:spacing w:line="360" w:lineRule="auto"/>
        <w:ind w:left="1446" w:hanging="709"/>
        <w:jc w:val="both"/>
        <w:rPr>
          <w:rFonts w:ascii="Arial Narrow" w:hAnsi="Arial Narrow" w:cs="Arial"/>
        </w:rPr>
      </w:pPr>
      <w:r>
        <w:rPr>
          <w:rFonts w:ascii="Arial Narrow" w:hAnsi="Arial Narrow" w:cs="Arial"/>
        </w:rPr>
        <w:t>T</w:t>
      </w:r>
      <w:r w:rsidRPr="00346A66">
        <w:rPr>
          <w:rFonts w:ascii="Arial Narrow" w:hAnsi="Arial Narrow" w:cs="Arial"/>
        </w:rPr>
        <w:t>rabajo bajo presión,</w:t>
      </w:r>
    </w:p>
    <w:p w:rsidR="00D876E0" w:rsidRPr="00346A66" w:rsidRDefault="00D876E0" w:rsidP="00D876E0">
      <w:pPr>
        <w:pStyle w:val="NormalWeb"/>
        <w:spacing w:line="360" w:lineRule="auto"/>
        <w:ind w:left="1446" w:hanging="709"/>
        <w:jc w:val="both"/>
        <w:rPr>
          <w:rFonts w:ascii="Arial Narrow" w:hAnsi="Arial Narrow" w:cs="Arial"/>
        </w:rPr>
      </w:pPr>
      <w:r w:rsidRPr="00346A66">
        <w:rPr>
          <w:rFonts w:ascii="Arial Narrow" w:hAnsi="Arial Narrow" w:cs="Arial"/>
        </w:rPr>
        <w:t>Mente creativa,</w:t>
      </w:r>
    </w:p>
    <w:p w:rsidR="00D876E0" w:rsidRDefault="00D876E0" w:rsidP="00D876E0">
      <w:pPr>
        <w:pStyle w:val="NormalWeb"/>
        <w:jc w:val="both"/>
      </w:pPr>
    </w:p>
    <w:p w:rsidR="00D876E0" w:rsidRPr="00346A66" w:rsidRDefault="00D876E0" w:rsidP="00D876E0">
      <w:pPr>
        <w:pStyle w:val="NormalWeb"/>
        <w:ind w:left="709" w:hanging="709"/>
        <w:jc w:val="both"/>
        <w:rPr>
          <w:rFonts w:ascii="Arial Narrow" w:hAnsi="Arial Narrow"/>
          <w:b/>
          <w:sz w:val="28"/>
          <w:szCs w:val="28"/>
        </w:rPr>
      </w:pPr>
      <w:r w:rsidRPr="00346A66">
        <w:rPr>
          <w:rFonts w:ascii="Arial Narrow" w:hAnsi="Arial Narrow"/>
          <w:b/>
          <w:sz w:val="28"/>
          <w:szCs w:val="28"/>
        </w:rPr>
        <w:t>EL AUDITOR FORENSE COMO “TESTIGO EXPERTO” EN LA CORTE</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Para CANO, Miguel Antonio y LUGO, Danilo</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Conociendo la parte procedimental, del sistema Penal Acusatorio, consideremos ahora el papel del “testigo experto” en la Corte y la valoración de su testimonio.</w:t>
      </w:r>
    </w:p>
    <w:p w:rsidR="00D876E0" w:rsidRPr="00346A66" w:rsidRDefault="00D876E0" w:rsidP="00D876E0">
      <w:pPr>
        <w:pStyle w:val="NormalWeb"/>
        <w:spacing w:line="360" w:lineRule="auto"/>
        <w:ind w:left="1446" w:hanging="709"/>
        <w:jc w:val="both"/>
        <w:rPr>
          <w:rFonts w:ascii="Arial Narrow" w:hAnsi="Arial Narrow"/>
        </w:rPr>
      </w:pPr>
      <w:r w:rsidRPr="00346A66">
        <w:rPr>
          <w:rFonts w:ascii="Arial Narrow" w:hAnsi="Arial Narrow"/>
        </w:rPr>
        <w:t>Se denomina a un testigo experto, a un profesional o técnico, conocedor a profundidad de un tema y con capacidad de análisis, que pueda servir a la corte para establecer una verdad, por medio de la experiencia y/o pruebas técnicas, que determinan un hecho y que de este testimonio, depende la responsabilidad de un acusado en un hecho imputado.</w:t>
      </w:r>
    </w:p>
    <w:p w:rsidR="00D876E0" w:rsidRDefault="00D876E0" w:rsidP="00D876E0">
      <w:pPr>
        <w:pStyle w:val="NormalWeb"/>
        <w:spacing w:line="360" w:lineRule="auto"/>
        <w:ind w:left="1446" w:hanging="709"/>
        <w:jc w:val="both"/>
        <w:rPr>
          <w:rFonts w:ascii="Arial Narrow" w:hAnsi="Arial Narrow"/>
        </w:rPr>
      </w:pPr>
      <w:r w:rsidRPr="00346A66">
        <w:rPr>
          <w:rFonts w:ascii="Arial Narrow" w:hAnsi="Arial Narrow"/>
        </w:rPr>
        <w:t>El auditor con preparación técnica-forense, es un valioso “testigo experto” en una corte criminal. Por ser la auditoría forense un área muy especializada, el auditor debe tener una muy completa capacitación, acerca de las diferentes modalidades criminales, con énfasis en delitos económicos y financieros. Además de un conocimiento de la parte operativa en los diferentes procesos de investigación, y por supuesto, seguir cuidadosamente los manuales y las instrucciones del investigador jefe, para no cometer errores que pueden contaminar las evidencias y que a la postre arruinan toda la investigación, pues el caso se derrumba en la Corte por errores en la recopilación de evidencias a falta por ejemplo de demostrar debida diligencia en la cadena de custodia.</w:t>
      </w:r>
    </w:p>
    <w:p w:rsidR="009C0843" w:rsidRPr="00C96698" w:rsidRDefault="009C0843" w:rsidP="009C0843">
      <w:pPr>
        <w:pStyle w:val="NormalWeb"/>
        <w:spacing w:line="360" w:lineRule="auto"/>
        <w:ind w:left="1446" w:hanging="709"/>
        <w:jc w:val="both"/>
        <w:rPr>
          <w:rFonts w:ascii="Arial Narrow" w:hAnsi="Arial Narrow"/>
          <w:b/>
        </w:rPr>
      </w:pPr>
      <w:r w:rsidRPr="00C96698">
        <w:rPr>
          <w:rFonts w:ascii="Arial Narrow" w:hAnsi="Arial Narrow"/>
          <w:b/>
        </w:rPr>
        <w:lastRenderedPageBreak/>
        <w:t xml:space="preserve">Legislación salvadoreña sobre protección a testigos y peritos </w:t>
      </w:r>
    </w:p>
    <w:p w:rsidR="009C0843" w:rsidRDefault="009C0843" w:rsidP="009C0843">
      <w:pPr>
        <w:pStyle w:val="NormalWeb"/>
        <w:spacing w:line="360" w:lineRule="auto"/>
        <w:ind w:left="1446" w:hanging="709"/>
        <w:jc w:val="both"/>
        <w:rPr>
          <w:rFonts w:ascii="Arial Narrow" w:hAnsi="Arial Narrow"/>
        </w:rPr>
      </w:pPr>
      <w:r>
        <w:rPr>
          <w:rFonts w:ascii="Arial Narrow" w:hAnsi="Arial Narrow"/>
        </w:rPr>
        <w:t xml:space="preserve">  El régimen de protección a testigos y peritos fue establecido por DL 281/2001, de 8 de febrero, mediante la adición al CPP de los arts. 210-A a 210-G, que establecen un sistema de protección a testigos y peritos parecido al de la ley española, con la salvedad de que no se prevé el cambio de identidad del testigo o perito ni la habilitación de fondos públicos para la reubicación residencial y laboral del mismo. </w:t>
      </w:r>
    </w:p>
    <w:p w:rsidR="009C0843" w:rsidRDefault="009C0843" w:rsidP="009C0843">
      <w:pPr>
        <w:pStyle w:val="NormalWeb"/>
        <w:spacing w:line="360" w:lineRule="auto"/>
        <w:ind w:left="1446" w:hanging="709"/>
        <w:jc w:val="both"/>
        <w:rPr>
          <w:rFonts w:ascii="Arial Narrow" w:hAnsi="Arial Narrow"/>
        </w:rPr>
      </w:pPr>
      <w:r>
        <w:rPr>
          <w:rFonts w:ascii="Arial Narrow" w:hAnsi="Arial Narrow"/>
        </w:rPr>
        <w:t>Desde el punto de vista material, podemos sintetizar las medidas de protección previstas en la legislación salvadoreña de la siguiente forma:</w:t>
      </w:r>
    </w:p>
    <w:p w:rsidR="009C0843" w:rsidRDefault="009C0843" w:rsidP="009C0843">
      <w:pPr>
        <w:pStyle w:val="NormalWeb"/>
        <w:numPr>
          <w:ilvl w:val="0"/>
          <w:numId w:val="1"/>
        </w:numPr>
        <w:spacing w:line="360" w:lineRule="auto"/>
        <w:jc w:val="both"/>
        <w:rPr>
          <w:rFonts w:ascii="Arial Narrow" w:hAnsi="Arial Narrow"/>
        </w:rPr>
      </w:pPr>
      <w:r>
        <w:rPr>
          <w:rFonts w:ascii="Arial Narrow" w:hAnsi="Arial Narrow"/>
        </w:rPr>
        <w:t xml:space="preserve">Medidas genéricas de protección policial y asesoramiento legal </w:t>
      </w:r>
    </w:p>
    <w:p w:rsidR="009C0843" w:rsidRDefault="009C0843" w:rsidP="009C0843">
      <w:pPr>
        <w:pStyle w:val="NormalWeb"/>
        <w:numPr>
          <w:ilvl w:val="0"/>
          <w:numId w:val="1"/>
        </w:numPr>
        <w:spacing w:line="360" w:lineRule="auto"/>
        <w:jc w:val="both"/>
        <w:rPr>
          <w:rFonts w:ascii="Arial Narrow" w:hAnsi="Arial Narrow"/>
        </w:rPr>
      </w:pPr>
      <w:r>
        <w:rPr>
          <w:rFonts w:ascii="Arial Narrow" w:hAnsi="Arial Narrow"/>
        </w:rPr>
        <w:t xml:space="preserve">Medidas de preservación de la identidad e imagen del testigo o perito durante la fase de instrucción  </w:t>
      </w:r>
    </w:p>
    <w:p w:rsidR="009C0843" w:rsidRDefault="009C0843" w:rsidP="009C0843">
      <w:pPr>
        <w:pStyle w:val="NormalWeb"/>
        <w:numPr>
          <w:ilvl w:val="0"/>
          <w:numId w:val="1"/>
        </w:numPr>
        <w:spacing w:line="360" w:lineRule="auto"/>
        <w:jc w:val="both"/>
        <w:rPr>
          <w:rFonts w:ascii="Arial Narrow" w:hAnsi="Arial Narrow"/>
        </w:rPr>
      </w:pPr>
      <w:r>
        <w:rPr>
          <w:rFonts w:ascii="Arial Narrow" w:hAnsi="Arial Narrow"/>
        </w:rPr>
        <w:t xml:space="preserve">Medidas de preservación de la imagen, pero no de la identidad durante la fase del juicio plenario  </w:t>
      </w:r>
    </w:p>
    <w:p w:rsidR="009C0843" w:rsidRDefault="009C0843" w:rsidP="009C0843">
      <w:pPr>
        <w:pStyle w:val="NormalWeb"/>
        <w:numPr>
          <w:ilvl w:val="0"/>
          <w:numId w:val="1"/>
        </w:numPr>
        <w:spacing w:line="360" w:lineRule="auto"/>
        <w:jc w:val="both"/>
        <w:rPr>
          <w:rFonts w:ascii="Arial Narrow" w:hAnsi="Arial Narrow"/>
        </w:rPr>
      </w:pPr>
      <w:r>
        <w:rPr>
          <w:rFonts w:ascii="Arial Narrow" w:hAnsi="Arial Narrow"/>
        </w:rPr>
        <w:t xml:space="preserve">Medidas de posteriores a la celebración del juicio oral </w:t>
      </w:r>
    </w:p>
    <w:p w:rsidR="009C0843" w:rsidRPr="00346A66" w:rsidRDefault="009C0843" w:rsidP="00D876E0">
      <w:pPr>
        <w:pStyle w:val="NormalWeb"/>
        <w:spacing w:line="360" w:lineRule="auto"/>
        <w:ind w:left="1446" w:hanging="709"/>
        <w:jc w:val="both"/>
        <w:rPr>
          <w:rFonts w:ascii="Arial Narrow" w:hAnsi="Arial Narrow"/>
        </w:rPr>
      </w:pPr>
      <w:bookmarkStart w:id="0" w:name="_GoBack"/>
      <w:bookmarkEnd w:id="0"/>
    </w:p>
    <w:p w:rsidR="00D876E0" w:rsidRDefault="00D876E0" w:rsidP="00D876E0">
      <w:pPr>
        <w:pStyle w:val="NormalWeb"/>
        <w:jc w:val="both"/>
        <w:rPr>
          <w:rFonts w:ascii="Arial Narrow" w:hAnsi="Arial Narrow"/>
        </w:rPr>
      </w:pPr>
    </w:p>
    <w:p w:rsidR="00D876E0" w:rsidRPr="00346A66" w:rsidRDefault="00D876E0" w:rsidP="00D876E0">
      <w:pPr>
        <w:pStyle w:val="NormalWeb"/>
        <w:ind w:left="709" w:hanging="709"/>
        <w:jc w:val="both"/>
        <w:rPr>
          <w:rFonts w:ascii="Arial Narrow" w:hAnsi="Arial Narrow"/>
        </w:rPr>
      </w:pPr>
    </w:p>
    <w:p w:rsidR="00D876E0" w:rsidRDefault="00D876E0"/>
    <w:sectPr w:rsidR="00D876E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003454"/>
    <w:multiLevelType w:val="hybridMultilevel"/>
    <w:tmpl w:val="9EF80D08"/>
    <w:lvl w:ilvl="0" w:tplc="EAAE9200">
      <w:start w:val="1"/>
      <w:numFmt w:val="lowerLetter"/>
      <w:lvlText w:val="%1)"/>
      <w:lvlJc w:val="left"/>
      <w:pPr>
        <w:ind w:left="1097" w:hanging="360"/>
      </w:pPr>
      <w:rPr>
        <w:rFonts w:hint="default"/>
      </w:rPr>
    </w:lvl>
    <w:lvl w:ilvl="1" w:tplc="440A0019" w:tentative="1">
      <w:start w:val="1"/>
      <w:numFmt w:val="lowerLetter"/>
      <w:lvlText w:val="%2."/>
      <w:lvlJc w:val="left"/>
      <w:pPr>
        <w:ind w:left="1817" w:hanging="360"/>
      </w:pPr>
    </w:lvl>
    <w:lvl w:ilvl="2" w:tplc="440A001B" w:tentative="1">
      <w:start w:val="1"/>
      <w:numFmt w:val="lowerRoman"/>
      <w:lvlText w:val="%3."/>
      <w:lvlJc w:val="right"/>
      <w:pPr>
        <w:ind w:left="2537" w:hanging="180"/>
      </w:pPr>
    </w:lvl>
    <w:lvl w:ilvl="3" w:tplc="440A000F" w:tentative="1">
      <w:start w:val="1"/>
      <w:numFmt w:val="decimal"/>
      <w:lvlText w:val="%4."/>
      <w:lvlJc w:val="left"/>
      <w:pPr>
        <w:ind w:left="3257" w:hanging="360"/>
      </w:pPr>
    </w:lvl>
    <w:lvl w:ilvl="4" w:tplc="440A0019" w:tentative="1">
      <w:start w:val="1"/>
      <w:numFmt w:val="lowerLetter"/>
      <w:lvlText w:val="%5."/>
      <w:lvlJc w:val="left"/>
      <w:pPr>
        <w:ind w:left="3977" w:hanging="360"/>
      </w:pPr>
    </w:lvl>
    <w:lvl w:ilvl="5" w:tplc="440A001B" w:tentative="1">
      <w:start w:val="1"/>
      <w:numFmt w:val="lowerRoman"/>
      <w:lvlText w:val="%6."/>
      <w:lvlJc w:val="right"/>
      <w:pPr>
        <w:ind w:left="4697" w:hanging="180"/>
      </w:pPr>
    </w:lvl>
    <w:lvl w:ilvl="6" w:tplc="440A000F" w:tentative="1">
      <w:start w:val="1"/>
      <w:numFmt w:val="decimal"/>
      <w:lvlText w:val="%7."/>
      <w:lvlJc w:val="left"/>
      <w:pPr>
        <w:ind w:left="5417" w:hanging="360"/>
      </w:pPr>
    </w:lvl>
    <w:lvl w:ilvl="7" w:tplc="440A0019" w:tentative="1">
      <w:start w:val="1"/>
      <w:numFmt w:val="lowerLetter"/>
      <w:lvlText w:val="%8."/>
      <w:lvlJc w:val="left"/>
      <w:pPr>
        <w:ind w:left="6137" w:hanging="360"/>
      </w:pPr>
    </w:lvl>
    <w:lvl w:ilvl="8" w:tplc="440A001B" w:tentative="1">
      <w:start w:val="1"/>
      <w:numFmt w:val="lowerRoman"/>
      <w:lvlText w:val="%9."/>
      <w:lvlJc w:val="right"/>
      <w:pPr>
        <w:ind w:left="685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76E0"/>
    <w:rsid w:val="009C0843"/>
    <w:rsid w:val="00CA7003"/>
    <w:rsid w:val="00D876E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6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876E0"/>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Hipervnculo">
    <w:name w:val="Hyperlink"/>
    <w:basedOn w:val="Fuentedeprrafopredeter"/>
    <w:uiPriority w:val="99"/>
    <w:unhideWhenUsed/>
    <w:rsid w:val="00D876E0"/>
    <w:rPr>
      <w:color w:val="0000FF" w:themeColor="hyperlink"/>
      <w:u w:val="single"/>
    </w:rPr>
  </w:style>
  <w:style w:type="paragraph" w:customStyle="1" w:styleId="secundario">
    <w:name w:val="secundario"/>
    <w:basedOn w:val="Normal"/>
    <w:rsid w:val="00D876E0"/>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6E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876E0"/>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Hipervnculo">
    <w:name w:val="Hyperlink"/>
    <w:basedOn w:val="Fuentedeprrafopredeter"/>
    <w:uiPriority w:val="99"/>
    <w:unhideWhenUsed/>
    <w:rsid w:val="00D876E0"/>
    <w:rPr>
      <w:color w:val="0000FF" w:themeColor="hyperlink"/>
      <w:u w:val="single"/>
    </w:rPr>
  </w:style>
  <w:style w:type="paragraph" w:customStyle="1" w:styleId="secundario">
    <w:name w:val="secundario"/>
    <w:basedOn w:val="Normal"/>
    <w:rsid w:val="00D876E0"/>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4/verific-servicios/verific-servicios.shtml" TargetMode="External"/><Relationship Id="rId13" Type="http://schemas.openxmlformats.org/officeDocument/2006/relationships/hyperlink" Target="http://www.monografias.com/trabajos14/auditoria/auditoria.shtml" TargetMode="External"/><Relationship Id="rId18" Type="http://schemas.openxmlformats.org/officeDocument/2006/relationships/hyperlink" Target="http://www.monografias.com/trabajos7/mafu/mafu.shtml" TargetMode="External"/><Relationship Id="rId26" Type="http://schemas.openxmlformats.org/officeDocument/2006/relationships/hyperlink" Target="http://www.monografias.com/trabajos14/mocom/mocom.shtml" TargetMode="External"/><Relationship Id="rId3" Type="http://schemas.microsoft.com/office/2007/relationships/stylesWithEffects" Target="stylesWithEffects.xml"/><Relationship Id="rId21" Type="http://schemas.openxmlformats.org/officeDocument/2006/relationships/hyperlink" Target="http://www.monografias.com/trabajos31/cohecho/cohecho.shtml" TargetMode="External"/><Relationship Id="rId7" Type="http://schemas.openxmlformats.org/officeDocument/2006/relationships/hyperlink" Target="http://www.monografias.com/trabajos11/empre/empre.shtml" TargetMode="External"/><Relationship Id="rId12" Type="http://schemas.openxmlformats.org/officeDocument/2006/relationships/hyperlink" Target="http://www.monografias.com/trabajos14/informeauditoria/informeauditoria.shtml" TargetMode="External"/><Relationship Id="rId17" Type="http://schemas.openxmlformats.org/officeDocument/2006/relationships/hyperlink" Target="http://www.monografias.com/trabajos13/mapro/mapro.shtml" TargetMode="External"/><Relationship Id="rId25" Type="http://schemas.openxmlformats.org/officeDocument/2006/relationships/hyperlink" Target="http://www.monografias.com/trabajos4/confyneg/confyneg.shtml" TargetMode="External"/><Relationship Id="rId2" Type="http://schemas.openxmlformats.org/officeDocument/2006/relationships/styles" Target="styles.xml"/><Relationship Id="rId16" Type="http://schemas.openxmlformats.org/officeDocument/2006/relationships/hyperlink" Target="http://www.monografias.com/trabajos34/el-caracter/el-caracter.shtml" TargetMode="External"/><Relationship Id="rId20" Type="http://schemas.openxmlformats.org/officeDocument/2006/relationships/hyperlink" Target="http://www.monografias.com/trabajos55/conflictos/conflictos.shtm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onografias.com/trabajos10/era/era.shtml" TargetMode="External"/><Relationship Id="rId11" Type="http://schemas.openxmlformats.org/officeDocument/2006/relationships/hyperlink" Target="http://www.monografias.com/trabajos11/bancs/bancs.shtml" TargetMode="External"/><Relationship Id="rId24" Type="http://schemas.openxmlformats.org/officeDocument/2006/relationships/hyperlink" Target="http://www.monografias.com/trabajos13/conce/conce.shtml" TargetMode="External"/><Relationship Id="rId5" Type="http://schemas.openxmlformats.org/officeDocument/2006/relationships/webSettings" Target="webSettings.xml"/><Relationship Id="rId15" Type="http://schemas.openxmlformats.org/officeDocument/2006/relationships/hyperlink" Target="http://www.monografias.com/guias/foros/" TargetMode="External"/><Relationship Id="rId23" Type="http://schemas.openxmlformats.org/officeDocument/2006/relationships/hyperlink" Target="http://www.monografias.com/trabajos15/consultoria-organizacional/consultoria-organizacional.shtml" TargetMode="External"/><Relationship Id="rId28" Type="http://schemas.openxmlformats.org/officeDocument/2006/relationships/hyperlink" Target="http://www.monografias.com/trabajos5/moti/moti.shtml" TargetMode="External"/><Relationship Id="rId10" Type="http://schemas.openxmlformats.org/officeDocument/2006/relationships/hyperlink" Target="http://www.monografias.com/trabajos3/gerenylider/gerenylider.shtml" TargetMode="External"/><Relationship Id="rId19" Type="http://schemas.openxmlformats.org/officeDocument/2006/relationships/hyperlink" Target="http://www.monografias.com/trabajos13/parde/parde.shtml" TargetMode="External"/><Relationship Id="rId4" Type="http://schemas.openxmlformats.org/officeDocument/2006/relationships/settings" Target="settings.xml"/><Relationship Id="rId9" Type="http://schemas.openxmlformats.org/officeDocument/2006/relationships/hyperlink" Target="http://www.monografias.com/trabajos16/romano-limitaciones/romano-limitaciones.shtml" TargetMode="External"/><Relationship Id="rId14" Type="http://schemas.openxmlformats.org/officeDocument/2006/relationships/hyperlink" Target="http://www.monografias.com/trabajos16/objetivos-educacion/objetivos-educacion.shtml" TargetMode="External"/><Relationship Id="rId22" Type="http://schemas.openxmlformats.org/officeDocument/2006/relationships/hyperlink" Target="http://www.monografias.com/trabajos37/lavado-dinero/lavado-dinero.shtml" TargetMode="External"/><Relationship Id="rId27" Type="http://schemas.openxmlformats.org/officeDocument/2006/relationships/hyperlink" Target="http://www.monografias.com/Salud/Psicologia/"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1243</Words>
  <Characters>6837</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3</cp:revision>
  <dcterms:created xsi:type="dcterms:W3CDTF">2015-11-17T23:50:00Z</dcterms:created>
  <dcterms:modified xsi:type="dcterms:W3CDTF">2015-11-18T00:19:00Z</dcterms:modified>
</cp:coreProperties>
</file>