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Default Extension="png" ContentType="image/png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4BC96" w:themeColor="background2" w:themeShade="BF">
    <v:background id="_x0000_s1025" o:bwmode="white" fillcolor="#c4bc96 [2414]">
      <v:fill r:id="rId3" o:title="40%" type="pattern"/>
    </v:background>
  </w:background>
  <w:body>
    <w:p w:rsidR="00076329" w:rsidRDefault="007D1EC4" w:rsidP="007D1EC4">
      <w:pPr>
        <w:jc w:val="center"/>
        <w:rPr>
          <w:b/>
        </w:rPr>
      </w:pPr>
      <w:r w:rsidRPr="007D1EC4">
        <w:rPr>
          <w:b/>
        </w:rPr>
        <w:t>REGULACIÓN SOBRE PRECIOS DE TRANSFERENCIA</w:t>
      </w:r>
    </w:p>
    <w:p w:rsidR="007D1EC4" w:rsidRDefault="007D1EC4" w:rsidP="007D1EC4">
      <w:r w:rsidRPr="007D1EC4">
        <w:t>En el código tributario, se encuentran algunas consideraciones realizadas en la regulación sobre precios de transferencia</w:t>
      </w:r>
      <w:r>
        <w:t xml:space="preserve">  tomadas a partir del año 2010.</w:t>
      </w:r>
    </w:p>
    <w:p w:rsidR="007D1EC4" w:rsidRDefault="007D1EC4" w:rsidP="007D1EC4">
      <w:r>
        <w:t>A continuación se presentan dichas regulaciones que son incluidas en el presente cuadro.</w:t>
      </w:r>
    </w:p>
    <w:tbl>
      <w:tblPr>
        <w:tblStyle w:val="Tablaconcuadrcula"/>
        <w:tblW w:w="9464" w:type="dxa"/>
        <w:tblLayout w:type="fixed"/>
        <w:tblLook w:val="04A0"/>
      </w:tblPr>
      <w:tblGrid>
        <w:gridCol w:w="817"/>
        <w:gridCol w:w="851"/>
        <w:gridCol w:w="5244"/>
        <w:gridCol w:w="2552"/>
      </w:tblGrid>
      <w:tr w:rsidR="00AA3F30" w:rsidTr="00AA3F30">
        <w:tc>
          <w:tcPr>
            <w:tcW w:w="817" w:type="dxa"/>
          </w:tcPr>
          <w:p w:rsidR="00AA3F30" w:rsidRDefault="00AA3F30" w:rsidP="007D1EC4">
            <w:r>
              <w:t>Correlativo</w:t>
            </w:r>
          </w:p>
        </w:tc>
        <w:tc>
          <w:tcPr>
            <w:tcW w:w="851" w:type="dxa"/>
          </w:tcPr>
          <w:p w:rsidR="00AA3F30" w:rsidRDefault="00AA3F30" w:rsidP="007D1EC4">
            <w:r>
              <w:t>Artículo</w:t>
            </w:r>
          </w:p>
        </w:tc>
        <w:tc>
          <w:tcPr>
            <w:tcW w:w="5244" w:type="dxa"/>
          </w:tcPr>
          <w:p w:rsidR="00AA3F30" w:rsidRDefault="00AA3F30" w:rsidP="007D1EC4">
            <w:r>
              <w:t>Regulaciones sobre precios de transferencia</w:t>
            </w:r>
          </w:p>
          <w:p w:rsidR="00AA3F30" w:rsidRDefault="00AA3F30" w:rsidP="007D1EC4">
            <w:r>
              <w:t xml:space="preserve">                                                                                                              </w:t>
            </w:r>
          </w:p>
        </w:tc>
        <w:tc>
          <w:tcPr>
            <w:tcW w:w="2552" w:type="dxa"/>
          </w:tcPr>
          <w:p w:rsidR="00AA3F30" w:rsidRDefault="00AA3F30" w:rsidP="007D1EC4">
            <w:r>
              <w:t>Consideraciones</w:t>
            </w:r>
          </w:p>
        </w:tc>
      </w:tr>
      <w:tr w:rsidR="00AA3F30" w:rsidTr="00AA3F30">
        <w:tc>
          <w:tcPr>
            <w:tcW w:w="817" w:type="dxa"/>
          </w:tcPr>
          <w:p w:rsidR="00AA3F30" w:rsidRDefault="00AA3F30" w:rsidP="007D1EC4"/>
          <w:p w:rsidR="00AA3F30" w:rsidRDefault="00AA3F30" w:rsidP="007D1EC4"/>
          <w:p w:rsidR="00AA3F30" w:rsidRDefault="00AA3F30" w:rsidP="007D1EC4"/>
          <w:p w:rsidR="00AA3F30" w:rsidRDefault="00AA3F30" w:rsidP="007D1EC4"/>
          <w:p w:rsidR="00AA3F30" w:rsidRDefault="00AA3F30" w:rsidP="007D1EC4"/>
          <w:p w:rsidR="00AA3F30" w:rsidRDefault="00AA3F30" w:rsidP="007D1EC4"/>
          <w:p w:rsidR="00AA3F30" w:rsidRDefault="00AA3F30" w:rsidP="007D1EC4">
            <w:r>
              <w:t>1</w:t>
            </w:r>
          </w:p>
        </w:tc>
        <w:tc>
          <w:tcPr>
            <w:tcW w:w="851" w:type="dxa"/>
          </w:tcPr>
          <w:p w:rsidR="00AA3F30" w:rsidRDefault="00AA3F30" w:rsidP="00280BDB">
            <w:pPr>
              <w:tabs>
                <w:tab w:val="left" w:pos="195"/>
                <w:tab w:val="center" w:pos="459"/>
              </w:tabs>
            </w:pPr>
            <w:r>
              <w:tab/>
            </w:r>
          </w:p>
          <w:p w:rsidR="00AA3F30" w:rsidRDefault="00AA3F30" w:rsidP="00280BDB">
            <w:pPr>
              <w:tabs>
                <w:tab w:val="left" w:pos="195"/>
                <w:tab w:val="center" w:pos="459"/>
              </w:tabs>
            </w:pPr>
          </w:p>
          <w:p w:rsidR="00AA3F30" w:rsidRDefault="00AA3F30" w:rsidP="00280BDB">
            <w:pPr>
              <w:tabs>
                <w:tab w:val="left" w:pos="195"/>
                <w:tab w:val="center" w:pos="459"/>
              </w:tabs>
            </w:pPr>
          </w:p>
          <w:p w:rsidR="00AA3F30" w:rsidRDefault="00AA3F30" w:rsidP="00280BDB">
            <w:pPr>
              <w:tabs>
                <w:tab w:val="left" w:pos="195"/>
                <w:tab w:val="center" w:pos="459"/>
              </w:tabs>
            </w:pPr>
          </w:p>
          <w:p w:rsidR="00AA3F30" w:rsidRDefault="00AA3F30" w:rsidP="00280BDB">
            <w:pPr>
              <w:tabs>
                <w:tab w:val="left" w:pos="195"/>
                <w:tab w:val="center" w:pos="459"/>
              </w:tabs>
            </w:pPr>
          </w:p>
          <w:p w:rsidR="00AA3F30" w:rsidRDefault="00AA3F30" w:rsidP="00280BDB">
            <w:pPr>
              <w:tabs>
                <w:tab w:val="left" w:pos="195"/>
                <w:tab w:val="center" w:pos="459"/>
              </w:tabs>
              <w:rPr>
                <w:b/>
              </w:rPr>
            </w:pPr>
            <w:r w:rsidRPr="00280BDB">
              <w:rPr>
                <w:b/>
              </w:rPr>
              <w:tab/>
            </w:r>
          </w:p>
          <w:p w:rsidR="00AA3F30" w:rsidRPr="00280BDB" w:rsidRDefault="00AA3F30" w:rsidP="00280BDB">
            <w:pPr>
              <w:tabs>
                <w:tab w:val="left" w:pos="195"/>
                <w:tab w:val="center" w:pos="459"/>
              </w:tabs>
              <w:rPr>
                <w:b/>
              </w:rPr>
            </w:pPr>
            <w:r w:rsidRPr="00280BDB">
              <w:rPr>
                <w:b/>
              </w:rPr>
              <w:t>62-A</w:t>
            </w:r>
          </w:p>
        </w:tc>
        <w:tc>
          <w:tcPr>
            <w:tcW w:w="5244" w:type="dxa"/>
          </w:tcPr>
          <w:p w:rsidR="00AA3F30" w:rsidRDefault="00AA3F30" w:rsidP="00280BDB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obligación de los contribuyentes que celebren operaciones con sujetos relacionados de, determinar los precios y montos de las contraprestaciones, considerando los precios de mercado utilizados para bienes o servicios de la misma especie entre sujetos independientes, también si</w:t>
            </w:r>
          </w:p>
          <w:p w:rsidR="00AA3F30" w:rsidRDefault="00AA3F30" w:rsidP="00280BDB">
            <w:pPr>
              <w:pStyle w:val="Prrafodelista"/>
              <w:jc w:val="both"/>
            </w:pPr>
          </w:p>
          <w:p w:rsidR="00AA3F30" w:rsidRDefault="00AA3F30" w:rsidP="00280BDB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 xml:space="preserve">si las operaciones o transacciones se celebran con sujetos domiciliados, constituidos o ubicados en países, estados o territorios con regímenes fiscales preferentes, de baja o nula tributación o paraísos fiscales y </w:t>
            </w:r>
          </w:p>
          <w:p w:rsidR="00AA3F30" w:rsidRDefault="00AA3F30" w:rsidP="00280BDB">
            <w:pPr>
              <w:pStyle w:val="Prrafodelista"/>
            </w:pPr>
          </w:p>
          <w:p w:rsidR="00AA3F30" w:rsidRDefault="00AA3F30" w:rsidP="00280BDB">
            <w:pPr>
              <w:pStyle w:val="Prrafodelista"/>
              <w:numPr>
                <w:ilvl w:val="0"/>
                <w:numId w:val="1"/>
              </w:numPr>
              <w:jc w:val="both"/>
            </w:pPr>
            <w:r>
              <w:t>que clasifique la Organización para la Cooperación y el Desarrollo Económico (OCDE) y el Grupo de Acción Financiera Internacional (GAFI).</w:t>
            </w:r>
          </w:p>
        </w:tc>
        <w:tc>
          <w:tcPr>
            <w:tcW w:w="2552" w:type="dxa"/>
          </w:tcPr>
          <w:p w:rsidR="00AA3F30" w:rsidRDefault="00AA3F30" w:rsidP="00AA3F30">
            <w:pPr>
              <w:jc w:val="both"/>
            </w:pPr>
          </w:p>
          <w:p w:rsidR="00AA3F30" w:rsidRDefault="00AA3F30" w:rsidP="00AA3F30">
            <w:pPr>
              <w:jc w:val="both"/>
            </w:pPr>
          </w:p>
          <w:p w:rsidR="00AA3F30" w:rsidRDefault="00AA3F30" w:rsidP="00255E78">
            <w:pPr>
              <w:jc w:val="both"/>
            </w:pPr>
            <w:r>
              <w:t xml:space="preserve">Este artículo no hace referencia a operaciones o transacciones de compra o venta de bienes o </w:t>
            </w:r>
            <w:r w:rsidR="00255E78">
              <w:t>servicios, trata</w:t>
            </w:r>
            <w:r>
              <w:t xml:space="preserve"> de actividades que generan ingresos o costos y gastos.</w:t>
            </w:r>
          </w:p>
        </w:tc>
      </w:tr>
      <w:tr w:rsidR="00AA3F30" w:rsidTr="00AA3F30">
        <w:tc>
          <w:tcPr>
            <w:tcW w:w="817" w:type="dxa"/>
          </w:tcPr>
          <w:p w:rsidR="00AA3F30" w:rsidRDefault="00AA3F30" w:rsidP="007D1EC4">
            <w:r>
              <w:t>2</w:t>
            </w:r>
          </w:p>
        </w:tc>
        <w:tc>
          <w:tcPr>
            <w:tcW w:w="851" w:type="dxa"/>
          </w:tcPr>
          <w:p w:rsidR="00AA3F30" w:rsidRPr="00280BDB" w:rsidRDefault="002D10C8" w:rsidP="007D1EC4">
            <w:pPr>
              <w:rPr>
                <w:b/>
              </w:rPr>
            </w:pPr>
            <w:r>
              <w:rPr>
                <w:b/>
              </w:rPr>
              <w:t>124=A</w:t>
            </w:r>
          </w:p>
        </w:tc>
        <w:tc>
          <w:tcPr>
            <w:tcW w:w="5244" w:type="dxa"/>
          </w:tcPr>
          <w:p w:rsidR="00AA3F30" w:rsidRDefault="002D10C8" w:rsidP="002D10C8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 xml:space="preserve">los contribuyentes que celebren operaciones con sujetos domiciliados, constituidos o ubicados en países, estados o territorios con regímenes fiscales preferentes, de baja o nula tributación o paraísos fiscales, deben presentar un informe de las operaciones realizadas, si éstas, ya sea en forma individual o en conjunto, son iguales o superiores a </w:t>
            </w:r>
            <w:r w:rsidRPr="002D10C8">
              <w:rPr>
                <w:b/>
              </w:rPr>
              <w:t>$571,429.00.</w:t>
            </w:r>
          </w:p>
        </w:tc>
        <w:tc>
          <w:tcPr>
            <w:tcW w:w="2552" w:type="dxa"/>
          </w:tcPr>
          <w:p w:rsidR="00AA3F30" w:rsidRDefault="002D10C8" w:rsidP="002D10C8">
            <w:pPr>
              <w:jc w:val="both"/>
            </w:pPr>
            <w:r>
              <w:t>Deberán de presentar un informe en un plazo no mayor a los primeros meses después del respectivo ejercicio fiscal</w:t>
            </w:r>
          </w:p>
        </w:tc>
      </w:tr>
      <w:tr w:rsidR="00AA3F30" w:rsidTr="00AA3F30">
        <w:tc>
          <w:tcPr>
            <w:tcW w:w="817" w:type="dxa"/>
          </w:tcPr>
          <w:p w:rsidR="00AA3F30" w:rsidRDefault="002D10C8" w:rsidP="007D1EC4">
            <w:r>
              <w:t>3</w:t>
            </w:r>
          </w:p>
        </w:tc>
        <w:tc>
          <w:tcPr>
            <w:tcW w:w="851" w:type="dxa"/>
          </w:tcPr>
          <w:p w:rsidR="00AA3F30" w:rsidRPr="00280BDB" w:rsidRDefault="002D10C8" w:rsidP="007D1EC4">
            <w:pPr>
              <w:rPr>
                <w:b/>
              </w:rPr>
            </w:pPr>
            <w:r>
              <w:rPr>
                <w:b/>
              </w:rPr>
              <w:t>199= A</w:t>
            </w:r>
          </w:p>
        </w:tc>
        <w:tc>
          <w:tcPr>
            <w:tcW w:w="5244" w:type="dxa"/>
          </w:tcPr>
          <w:p w:rsidR="00AA3F30" w:rsidRDefault="002D10C8" w:rsidP="002D10C8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efectuar la estimación de la base imponible para efectos de IVA si los precios utilizados por el contribuyente: a) no son fidedignos, b) son inferiores o superiores al precio corriente de mercado, c) no se hubieren emitido los documentos que señala el Código Tributario u otras leyes tributarias, d) el valor de las operaciones no estuviere determinado o no fuere o no pudiere ser conocido; sin importar si se trata de bienes gravados, exentos o no afectos a dicho impuesto.</w:t>
            </w:r>
          </w:p>
        </w:tc>
        <w:tc>
          <w:tcPr>
            <w:tcW w:w="2552" w:type="dxa"/>
          </w:tcPr>
          <w:p w:rsidR="00AA3F30" w:rsidRDefault="00AA3F30" w:rsidP="007D1EC4"/>
          <w:p w:rsidR="002D10C8" w:rsidRDefault="002D10C8" w:rsidP="002D10C8">
            <w:pPr>
              <w:jc w:val="both"/>
            </w:pPr>
            <w:r>
              <w:t>Esta facultad es la que tiene como disposición la Administración tributaria</w:t>
            </w:r>
          </w:p>
        </w:tc>
      </w:tr>
      <w:tr w:rsidR="00AA3F30" w:rsidTr="00AA3F30">
        <w:tc>
          <w:tcPr>
            <w:tcW w:w="817" w:type="dxa"/>
          </w:tcPr>
          <w:p w:rsidR="00AA3F30" w:rsidRDefault="002D10C8" w:rsidP="007D1EC4">
            <w:r>
              <w:t>4</w:t>
            </w:r>
          </w:p>
        </w:tc>
        <w:tc>
          <w:tcPr>
            <w:tcW w:w="851" w:type="dxa"/>
          </w:tcPr>
          <w:p w:rsidR="00AA3F30" w:rsidRPr="00280BDB" w:rsidRDefault="002D10C8" w:rsidP="007D1EC4">
            <w:pPr>
              <w:rPr>
                <w:b/>
              </w:rPr>
            </w:pPr>
            <w:r>
              <w:rPr>
                <w:b/>
              </w:rPr>
              <w:t>199=B</w:t>
            </w:r>
          </w:p>
        </w:tc>
        <w:tc>
          <w:tcPr>
            <w:tcW w:w="5244" w:type="dxa"/>
          </w:tcPr>
          <w:p w:rsidR="00AA3F30" w:rsidRDefault="00693C68" w:rsidP="00693C68">
            <w:pPr>
              <w:pStyle w:val="Prrafodelista"/>
              <w:numPr>
                <w:ilvl w:val="0"/>
                <w:numId w:val="2"/>
              </w:numPr>
              <w:jc w:val="both"/>
            </w:pPr>
            <w:r>
              <w:t>establece que el precio de mercado en operaciones locales es el precio de venta utilizado por otras empresas no relacionadas que comercialicen bienes o servicios de la misma especie.</w:t>
            </w:r>
          </w:p>
        </w:tc>
        <w:tc>
          <w:tcPr>
            <w:tcW w:w="2552" w:type="dxa"/>
          </w:tcPr>
          <w:p w:rsidR="00AA3F30" w:rsidRDefault="00693C68" w:rsidP="00693C68">
            <w:pPr>
              <w:jc w:val="both"/>
            </w:pPr>
            <w:r>
              <w:t>Trata también sobre requerimientos en la exportación de bienes como importaciones en relación con el precio de mercado</w:t>
            </w:r>
          </w:p>
        </w:tc>
      </w:tr>
    </w:tbl>
    <w:p w:rsidR="007D1EC4" w:rsidRDefault="00220574" w:rsidP="00220574">
      <w:pPr>
        <w:jc w:val="both"/>
        <w:rPr>
          <w:lang w:val="es-ES"/>
        </w:rPr>
      </w:pPr>
      <w:r w:rsidRPr="00220574">
        <w:rPr>
          <w:lang w:val="es-ES"/>
        </w:rPr>
        <w:lastRenderedPageBreak/>
        <w:t>La Administración Tributaria podrá valorar, las operaciones efectuadas entre personas o entidades vinculadas, cuando la valoración convenida hubiera determinado un impuesto inferior al que resulte de la aplicación del valor normal de mercado.  Caso en el cual, se debe proceder a pr</w:t>
      </w:r>
      <w:r>
        <w:rPr>
          <w:lang w:val="es-ES"/>
        </w:rPr>
        <w:t>acticar los ajustes correspondientes.</w:t>
      </w:r>
    </w:p>
    <w:p w:rsidR="00220574" w:rsidRDefault="00220574" w:rsidP="00220574">
      <w:pPr>
        <w:jc w:val="both"/>
        <w:rPr>
          <w:lang w:val="es-ES"/>
        </w:rPr>
      </w:pPr>
      <w:r>
        <w:rPr>
          <w:lang w:val="es-ES"/>
        </w:rPr>
        <w:t xml:space="preserve">Es importante establecer que el </w:t>
      </w:r>
      <w:r w:rsidRPr="00220574">
        <w:rPr>
          <w:b/>
          <w:lang w:val="es-ES"/>
        </w:rPr>
        <w:t>objetivo primordial</w:t>
      </w:r>
      <w:r>
        <w:rPr>
          <w:lang w:val="es-ES"/>
        </w:rPr>
        <w:t xml:space="preserve"> de la legislación fiscal  en materia de precios de transferencia es:</w:t>
      </w:r>
    </w:p>
    <w:p w:rsidR="00220574" w:rsidRDefault="00220574" w:rsidP="00311F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48A54" w:themeFill="background2" w:themeFillShade="80"/>
        <w:jc w:val="both"/>
      </w:pPr>
      <w:r>
        <w:rPr>
          <w:lang w:val="es-ES"/>
        </w:rPr>
        <w:t xml:space="preserve"> </w:t>
      </w:r>
      <w:r w:rsidRPr="00220574">
        <w:rPr>
          <w:shd w:val="clear" w:color="auto" w:fill="948A54" w:themeFill="background2" w:themeFillShade="80"/>
          <w:lang w:val="es-ES"/>
        </w:rPr>
        <w:t>La protección de la base gravable de las diferentes jurisdicciones fiscales</w:t>
      </w:r>
    </w:p>
    <w:p w:rsidR="00220574" w:rsidRDefault="009A759A" w:rsidP="00220574">
      <w:r>
        <w:t>Si  hubiera ausencia de precios de transferencia el efecto de esto seria:</w:t>
      </w:r>
    </w:p>
    <w:p w:rsidR="009A759A" w:rsidRDefault="009A759A" w:rsidP="009A75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 w:themeFill="text2" w:themeFillShade="BF"/>
      </w:pPr>
      <w:r>
        <w:t>Menores ingresos fiscales lo cual ocasionaría diferencias y conflictos entre autoridades fiscales</w:t>
      </w:r>
    </w:p>
    <w:p w:rsidR="009A759A" w:rsidRDefault="009A759A" w:rsidP="009A759A">
      <w:r>
        <w:t>Existen factores externos que provocan manipulación de los precios de transferencia entre los cuales se pueden mencionar.</w:t>
      </w:r>
    </w:p>
    <w:p w:rsidR="009A759A" w:rsidRDefault="009A759A" w:rsidP="009A759A"/>
    <w:p w:rsidR="009A759A" w:rsidRDefault="009A759A" w:rsidP="009A759A">
      <w:r>
        <w:rPr>
          <w:noProof/>
          <w:lang w:eastAsia="es-ES_tradnl"/>
        </w:rPr>
        <w:drawing>
          <wp:inline distT="0" distB="0" distL="0" distR="0">
            <wp:extent cx="5400040" cy="1876425"/>
            <wp:effectExtent l="38100" t="19050" r="48260" b="952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105B4E" w:rsidRDefault="00105B4E" w:rsidP="00105B4E">
      <w:pPr>
        <w:jc w:val="both"/>
      </w:pPr>
    </w:p>
    <w:p w:rsidR="009A759A" w:rsidRDefault="00105B4E" w:rsidP="00105B4E">
      <w:pPr>
        <w:jc w:val="both"/>
      </w:pPr>
      <w:r>
        <w:t>Al estudiar los países sobre los cuales se aplica se puede observar la cantidad que están sujetos a las disposiciones reguladas y establecidas por los diferentes Entes asignados para la implementación y el cumplimiento de dichas disposiciones. El siguiente mapa muestra la influencia que se tiene en la trasferencia  y la cantidad de países que lo implementan.</w:t>
      </w:r>
    </w:p>
    <w:p w:rsidR="00105B4E" w:rsidRDefault="00105B4E" w:rsidP="00105B4E">
      <w:pPr>
        <w:jc w:val="both"/>
      </w:pPr>
      <w:r>
        <w:rPr>
          <w:noProof/>
          <w:lang w:eastAsia="es-ES_tradnl"/>
        </w:rPr>
        <w:drawing>
          <wp:inline distT="0" distB="0" distL="0" distR="0">
            <wp:extent cx="4905375" cy="2124075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32981" t="35765" r="17989" b="18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B4E" w:rsidRDefault="00917E66" w:rsidP="00105B4E">
      <w:pPr>
        <w:jc w:val="both"/>
      </w:pPr>
      <w:r>
        <w:lastRenderedPageBreak/>
        <w:t>Además de los artículos antes mencionados también están incluidos:</w:t>
      </w:r>
    </w:p>
    <w:p w:rsidR="00917E66" w:rsidRDefault="00917E66" w:rsidP="00917E66">
      <w:pPr>
        <w:pStyle w:val="Prrafodelista"/>
        <w:numPr>
          <w:ilvl w:val="0"/>
          <w:numId w:val="3"/>
        </w:numPr>
        <w:jc w:val="both"/>
      </w:pPr>
      <w:r>
        <w:t>Articulo 199 c</w:t>
      </w:r>
    </w:p>
    <w:p w:rsidR="00917E66" w:rsidRDefault="00917E66" w:rsidP="00917E66">
      <w:pPr>
        <w:pStyle w:val="Prrafodelista"/>
        <w:numPr>
          <w:ilvl w:val="0"/>
          <w:numId w:val="3"/>
        </w:numPr>
        <w:jc w:val="both"/>
      </w:pPr>
      <w:r>
        <w:t>Articulo 199 d</w:t>
      </w:r>
    </w:p>
    <w:p w:rsidR="00917E66" w:rsidRDefault="00917E66" w:rsidP="00917E66">
      <w:pPr>
        <w:pStyle w:val="Prrafodelista"/>
        <w:numPr>
          <w:ilvl w:val="0"/>
          <w:numId w:val="3"/>
        </w:numPr>
        <w:jc w:val="both"/>
      </w:pPr>
      <w:r>
        <w:t>Articulo 125</w:t>
      </w:r>
    </w:p>
    <w:p w:rsidR="00917E66" w:rsidRDefault="00917E66" w:rsidP="00917E66">
      <w:pPr>
        <w:pStyle w:val="Prrafodelista"/>
        <w:numPr>
          <w:ilvl w:val="0"/>
          <w:numId w:val="3"/>
        </w:numPr>
        <w:jc w:val="both"/>
      </w:pPr>
      <w:r>
        <w:t>Articulo 135</w:t>
      </w:r>
    </w:p>
    <w:p w:rsidR="00917E66" w:rsidRDefault="002B6E0C" w:rsidP="002B6E0C">
      <w:pPr>
        <w:jc w:val="both"/>
      </w:pPr>
      <w:r>
        <w:t xml:space="preserve">Finalmente, de acuerdo con el artículo </w:t>
      </w:r>
      <w:r w:rsidRPr="002B6E0C">
        <w:rPr>
          <w:b/>
        </w:rPr>
        <w:t>135</w:t>
      </w:r>
      <w:r>
        <w:t xml:space="preserve"> del Código Tributario, el auditor fiscal debe incluir en su dictamen e informe fiscal, una nota que explique el cumplimiento o incumplimiento por parte del contribuyente de las  obligaciones indicadas en los párrafos precedentes.</w:t>
      </w:r>
    </w:p>
    <w:p w:rsidR="00917E66" w:rsidRPr="009A759A" w:rsidRDefault="00917E66" w:rsidP="00917E66">
      <w:pPr>
        <w:jc w:val="both"/>
      </w:pPr>
    </w:p>
    <w:sectPr w:rsidR="00917E66" w:rsidRPr="009A759A" w:rsidSect="007D1EC4"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11.25pt;height:11.25pt" o:bullet="t">
        <v:imagedata r:id="rId1" o:title="mso30"/>
      </v:shape>
    </w:pict>
  </w:numPicBullet>
  <w:abstractNum w:abstractNumId="0">
    <w:nsid w:val="36255F7E"/>
    <w:multiLevelType w:val="hybridMultilevel"/>
    <w:tmpl w:val="3D8A21A2"/>
    <w:lvl w:ilvl="0" w:tplc="0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026236"/>
    <w:multiLevelType w:val="hybridMultilevel"/>
    <w:tmpl w:val="1FD6ACDC"/>
    <w:lvl w:ilvl="0" w:tplc="0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46770E"/>
    <w:multiLevelType w:val="hybridMultilevel"/>
    <w:tmpl w:val="4C860CB8"/>
    <w:lvl w:ilvl="0" w:tplc="0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7D1EC4"/>
    <w:rsid w:val="00076329"/>
    <w:rsid w:val="00105B4E"/>
    <w:rsid w:val="00220574"/>
    <w:rsid w:val="00255E78"/>
    <w:rsid w:val="00262BFB"/>
    <w:rsid w:val="00280BDB"/>
    <w:rsid w:val="002B6E0C"/>
    <w:rsid w:val="002D10C8"/>
    <w:rsid w:val="00311FF0"/>
    <w:rsid w:val="00693C68"/>
    <w:rsid w:val="007D1EC4"/>
    <w:rsid w:val="00917E66"/>
    <w:rsid w:val="009A759A"/>
    <w:rsid w:val="00AA3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329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62B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80BD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A75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75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image" Target="media/image2.gif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3_1">
  <dgm:title val=""/>
  <dgm:desc val=""/>
  <dgm:catLst>
    <dgm:cat type="accent3" pri="11100"/>
  </dgm:catLst>
  <dgm:styleLbl name="node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3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3">
        <a:tint val="40000"/>
      </a:schemeClr>
    </dgm:fillClrLst>
    <dgm:linClrLst meth="repeat">
      <a:schemeClr val="accent3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3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3">
        <a:tint val="60000"/>
      </a:schemeClr>
    </dgm:fillClrLst>
    <dgm:linClrLst meth="repeat">
      <a:schemeClr val="accent3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3">
    <dgm:fillClrLst meth="repeat">
      <a:schemeClr val="accent3"/>
    </dgm:fillClrLst>
    <dgm:linClrLst meth="repeat">
      <a:schemeClr val="accent3"/>
    </dgm:linClrLst>
    <dgm:effectClrLst/>
    <dgm:txLinClrLst/>
    <dgm:txFillClrLst/>
    <dgm:txEffectClrLst/>
  </dgm:styleLbl>
  <dgm:styleLbl name="parChTrans2D4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/>
    </dgm:fillClrLst>
    <dgm:linClrLst meth="repeat">
      <a:schemeClr val="accent3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3"/>
    </dgm:fillClrLst>
    <dgm:linClrLst meth="repeat">
      <a:schemeClr val="accent3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3">
        <a:alpha val="4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3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3">
        <a:alpha val="90000"/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accent3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8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3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7F8891A-CE06-41E7-A3D4-2E4695BF62E5}" type="doc">
      <dgm:prSet loTypeId="urn:microsoft.com/office/officeart/2005/8/layout/vProcess5" loCatId="process" qsTypeId="urn:microsoft.com/office/officeart/2005/8/quickstyle/3d2" qsCatId="3D" csTypeId="urn:microsoft.com/office/officeart/2005/8/colors/accent3_1" csCatId="accent3" phldr="1"/>
      <dgm:spPr/>
      <dgm:t>
        <a:bodyPr/>
        <a:lstStyle/>
        <a:p>
          <a:endParaRPr lang="es-ES_tradnl"/>
        </a:p>
      </dgm:t>
    </dgm:pt>
    <dgm:pt modelId="{3CFA95D5-1E96-4C1F-994B-8EB56162935A}">
      <dgm:prSet phldrT="[Texto]"/>
      <dgm:spPr/>
      <dgm:t>
        <a:bodyPr/>
        <a:lstStyle/>
        <a:p>
          <a:r>
            <a:rPr lang="es-ES_tradnl"/>
            <a:t>estrategia por impuestos sobre utilidades</a:t>
          </a:r>
        </a:p>
      </dgm:t>
    </dgm:pt>
    <dgm:pt modelId="{E3FFC95D-6A36-438D-93BC-83F749C57BF0}" type="parTrans" cxnId="{92C807FF-C03A-4BF3-B690-FE329F6E18C1}">
      <dgm:prSet/>
      <dgm:spPr/>
      <dgm:t>
        <a:bodyPr/>
        <a:lstStyle/>
        <a:p>
          <a:endParaRPr lang="es-ES_tradnl"/>
        </a:p>
      </dgm:t>
    </dgm:pt>
    <dgm:pt modelId="{FAF54CB9-762E-4866-8473-228815CA3AB0}" type="sibTrans" cxnId="{92C807FF-C03A-4BF3-B690-FE329F6E18C1}">
      <dgm:prSet/>
      <dgm:spPr>
        <a:solidFill>
          <a:srgbClr val="FF0000">
            <a:alpha val="90000"/>
          </a:srgbClr>
        </a:solidFill>
      </dgm:spPr>
      <dgm:t>
        <a:bodyPr/>
        <a:lstStyle/>
        <a:p>
          <a:endParaRPr lang="es-ES_tradnl"/>
        </a:p>
      </dgm:t>
    </dgm:pt>
    <dgm:pt modelId="{42FA6056-0CD7-40C0-A924-3BE7A9A2940E}">
      <dgm:prSet phldrT="[Texto]"/>
      <dgm:spPr/>
      <dgm:t>
        <a:bodyPr/>
        <a:lstStyle/>
        <a:p>
          <a:r>
            <a:rPr lang="es-ES_tradnl"/>
            <a:t>estrategias encaminadas a aprovechar subsidios</a:t>
          </a:r>
        </a:p>
      </dgm:t>
    </dgm:pt>
    <dgm:pt modelId="{40715A9B-5630-4059-8FC3-2876D584D1F2}" type="parTrans" cxnId="{0FE811F0-2D39-4972-8282-7308BDA0651B}">
      <dgm:prSet/>
      <dgm:spPr/>
      <dgm:t>
        <a:bodyPr/>
        <a:lstStyle/>
        <a:p>
          <a:endParaRPr lang="es-ES_tradnl"/>
        </a:p>
      </dgm:t>
    </dgm:pt>
    <dgm:pt modelId="{4F7CA78A-A26E-4C30-B7EC-A602E245CCE1}" type="sibTrans" cxnId="{0FE811F0-2D39-4972-8282-7308BDA0651B}">
      <dgm:prSet/>
      <dgm:spPr>
        <a:solidFill>
          <a:srgbClr val="FF0000">
            <a:alpha val="90000"/>
          </a:srgbClr>
        </a:solidFill>
      </dgm:spPr>
      <dgm:t>
        <a:bodyPr/>
        <a:lstStyle/>
        <a:p>
          <a:endParaRPr lang="es-ES_tradnl"/>
        </a:p>
      </dgm:t>
    </dgm:pt>
    <dgm:pt modelId="{2340B4CB-9CE5-4E8B-A496-152CE9DDAB3F}">
      <dgm:prSet phldrT="[Texto]"/>
      <dgm:spPr/>
      <dgm:t>
        <a:bodyPr/>
        <a:lstStyle/>
        <a:p>
          <a:r>
            <a:rPr lang="es-ES_tradnl"/>
            <a:t>restricciones sobre el flujo de efectivo entre otras</a:t>
          </a:r>
        </a:p>
      </dgm:t>
    </dgm:pt>
    <dgm:pt modelId="{7841CB96-7FA2-44A0-AFF1-529599D7033D}" type="parTrans" cxnId="{AAA2B6EA-2844-47BB-9E59-7B4645234166}">
      <dgm:prSet/>
      <dgm:spPr/>
      <dgm:t>
        <a:bodyPr/>
        <a:lstStyle/>
        <a:p>
          <a:endParaRPr lang="es-ES_tradnl"/>
        </a:p>
      </dgm:t>
    </dgm:pt>
    <dgm:pt modelId="{CC18BEB9-1F45-42DC-8E04-AA66CD8B9182}" type="sibTrans" cxnId="{AAA2B6EA-2844-47BB-9E59-7B4645234166}">
      <dgm:prSet/>
      <dgm:spPr/>
      <dgm:t>
        <a:bodyPr/>
        <a:lstStyle/>
        <a:p>
          <a:endParaRPr lang="es-ES_tradnl"/>
        </a:p>
      </dgm:t>
    </dgm:pt>
    <dgm:pt modelId="{EB43D2DB-4724-4CAD-8A88-4CE4CC12C38C}" type="pres">
      <dgm:prSet presAssocID="{B7F8891A-CE06-41E7-A3D4-2E4695BF62E5}" presName="outerComposite" presStyleCnt="0">
        <dgm:presLayoutVars>
          <dgm:chMax val="5"/>
          <dgm:dir/>
          <dgm:resizeHandles val="exact"/>
        </dgm:presLayoutVars>
      </dgm:prSet>
      <dgm:spPr/>
    </dgm:pt>
    <dgm:pt modelId="{FF919C1F-EA12-43AE-AA30-DBF22FDA4A75}" type="pres">
      <dgm:prSet presAssocID="{B7F8891A-CE06-41E7-A3D4-2E4695BF62E5}" presName="dummyMaxCanvas" presStyleCnt="0">
        <dgm:presLayoutVars/>
      </dgm:prSet>
      <dgm:spPr/>
    </dgm:pt>
    <dgm:pt modelId="{B27316FB-D7A4-46D8-96A0-19BCD60379CB}" type="pres">
      <dgm:prSet presAssocID="{B7F8891A-CE06-41E7-A3D4-2E4695BF62E5}" presName="ThreeNodes_1" presStyleLbl="node1" presStyleIdx="0" presStyleCnt="3">
        <dgm:presLayoutVars>
          <dgm:bulletEnabled val="1"/>
        </dgm:presLayoutVars>
      </dgm:prSet>
      <dgm:spPr/>
    </dgm:pt>
    <dgm:pt modelId="{0FACEB8A-0455-4D63-B9AB-E3FDD7EF4090}" type="pres">
      <dgm:prSet presAssocID="{B7F8891A-CE06-41E7-A3D4-2E4695BF62E5}" presName="ThreeNodes_2" presStyleLbl="node1" presStyleIdx="1" presStyleCnt="3">
        <dgm:presLayoutVars>
          <dgm:bulletEnabled val="1"/>
        </dgm:presLayoutVars>
      </dgm:prSet>
      <dgm:spPr/>
    </dgm:pt>
    <dgm:pt modelId="{9049F9B5-0E83-4AD1-BC36-57D4C0B8D5ED}" type="pres">
      <dgm:prSet presAssocID="{B7F8891A-CE06-41E7-A3D4-2E4695BF62E5}" presName="ThreeNodes_3" presStyleLbl="node1" presStyleIdx="2" presStyleCnt="3">
        <dgm:presLayoutVars>
          <dgm:bulletEnabled val="1"/>
        </dgm:presLayoutVars>
      </dgm:prSet>
      <dgm:spPr/>
    </dgm:pt>
    <dgm:pt modelId="{44AC6BA8-FB6F-466C-978A-32248FC30268}" type="pres">
      <dgm:prSet presAssocID="{B7F8891A-CE06-41E7-A3D4-2E4695BF62E5}" presName="ThreeConn_1-2" presStyleLbl="fgAccFollowNode1" presStyleIdx="0" presStyleCnt="2">
        <dgm:presLayoutVars>
          <dgm:bulletEnabled val="1"/>
        </dgm:presLayoutVars>
      </dgm:prSet>
      <dgm:spPr/>
    </dgm:pt>
    <dgm:pt modelId="{67B25305-C4CE-4C47-A0AC-ABC87AD7545E}" type="pres">
      <dgm:prSet presAssocID="{B7F8891A-CE06-41E7-A3D4-2E4695BF62E5}" presName="ThreeConn_2-3" presStyleLbl="fgAccFollowNode1" presStyleIdx="1" presStyleCnt="2">
        <dgm:presLayoutVars>
          <dgm:bulletEnabled val="1"/>
        </dgm:presLayoutVars>
      </dgm:prSet>
      <dgm:spPr/>
    </dgm:pt>
    <dgm:pt modelId="{B77137C2-4860-42D4-A648-DD943F779D68}" type="pres">
      <dgm:prSet presAssocID="{B7F8891A-CE06-41E7-A3D4-2E4695BF62E5}" presName="ThreeNodes_1_text" presStyleLbl="node1" presStyleIdx="2" presStyleCnt="3">
        <dgm:presLayoutVars>
          <dgm:bulletEnabled val="1"/>
        </dgm:presLayoutVars>
      </dgm:prSet>
      <dgm:spPr/>
    </dgm:pt>
    <dgm:pt modelId="{B3AE5AF6-5E6F-43C3-8157-1C71D1E5F27F}" type="pres">
      <dgm:prSet presAssocID="{B7F8891A-CE06-41E7-A3D4-2E4695BF62E5}" presName="ThreeNodes_2_text" presStyleLbl="node1" presStyleIdx="2" presStyleCnt="3">
        <dgm:presLayoutVars>
          <dgm:bulletEnabled val="1"/>
        </dgm:presLayoutVars>
      </dgm:prSet>
      <dgm:spPr/>
    </dgm:pt>
    <dgm:pt modelId="{F870DC74-5C99-4230-8A39-2420AAFE0607}" type="pres">
      <dgm:prSet presAssocID="{B7F8891A-CE06-41E7-A3D4-2E4695BF62E5}" presName="ThreeNodes_3_text" presStyleLbl="node1" presStyleIdx="2" presStyleCnt="3">
        <dgm:presLayoutVars>
          <dgm:bulletEnabled val="1"/>
        </dgm:presLayoutVars>
      </dgm:prSet>
      <dgm:spPr/>
    </dgm:pt>
  </dgm:ptLst>
  <dgm:cxnLst>
    <dgm:cxn modelId="{0FE811F0-2D39-4972-8282-7308BDA0651B}" srcId="{B7F8891A-CE06-41E7-A3D4-2E4695BF62E5}" destId="{42FA6056-0CD7-40C0-A924-3BE7A9A2940E}" srcOrd="1" destOrd="0" parTransId="{40715A9B-5630-4059-8FC3-2876D584D1F2}" sibTransId="{4F7CA78A-A26E-4C30-B7EC-A602E245CCE1}"/>
    <dgm:cxn modelId="{0FD1AA68-9474-46A3-A69F-DC5EDDDEA34D}" type="presOf" srcId="{42FA6056-0CD7-40C0-A924-3BE7A9A2940E}" destId="{0FACEB8A-0455-4D63-B9AB-E3FDD7EF4090}" srcOrd="0" destOrd="0" presId="urn:microsoft.com/office/officeart/2005/8/layout/vProcess5"/>
    <dgm:cxn modelId="{456B84E6-85D2-4ED3-A9D8-E5D1F98A4CB6}" type="presOf" srcId="{42FA6056-0CD7-40C0-A924-3BE7A9A2940E}" destId="{B3AE5AF6-5E6F-43C3-8157-1C71D1E5F27F}" srcOrd="1" destOrd="0" presId="urn:microsoft.com/office/officeart/2005/8/layout/vProcess5"/>
    <dgm:cxn modelId="{33289BEE-DD8E-45A3-B6E2-DEA8DFEEE1EB}" type="presOf" srcId="{2340B4CB-9CE5-4E8B-A496-152CE9DDAB3F}" destId="{9049F9B5-0E83-4AD1-BC36-57D4C0B8D5ED}" srcOrd="0" destOrd="0" presId="urn:microsoft.com/office/officeart/2005/8/layout/vProcess5"/>
    <dgm:cxn modelId="{14B711BD-2FF0-43FA-8612-220C1FCE1389}" type="presOf" srcId="{FAF54CB9-762E-4866-8473-228815CA3AB0}" destId="{44AC6BA8-FB6F-466C-978A-32248FC30268}" srcOrd="0" destOrd="0" presId="urn:microsoft.com/office/officeart/2005/8/layout/vProcess5"/>
    <dgm:cxn modelId="{DCF0BC13-6C23-4C6E-A586-B91EC9EF30B2}" type="presOf" srcId="{4F7CA78A-A26E-4C30-B7EC-A602E245CCE1}" destId="{67B25305-C4CE-4C47-A0AC-ABC87AD7545E}" srcOrd="0" destOrd="0" presId="urn:microsoft.com/office/officeart/2005/8/layout/vProcess5"/>
    <dgm:cxn modelId="{92C807FF-C03A-4BF3-B690-FE329F6E18C1}" srcId="{B7F8891A-CE06-41E7-A3D4-2E4695BF62E5}" destId="{3CFA95D5-1E96-4C1F-994B-8EB56162935A}" srcOrd="0" destOrd="0" parTransId="{E3FFC95D-6A36-438D-93BC-83F749C57BF0}" sibTransId="{FAF54CB9-762E-4866-8473-228815CA3AB0}"/>
    <dgm:cxn modelId="{7AF79F47-1206-4ED9-B8E6-FC7D7A2EB58D}" type="presOf" srcId="{3CFA95D5-1E96-4C1F-994B-8EB56162935A}" destId="{B77137C2-4860-42D4-A648-DD943F779D68}" srcOrd="1" destOrd="0" presId="urn:microsoft.com/office/officeart/2005/8/layout/vProcess5"/>
    <dgm:cxn modelId="{85F9EF8A-EE0E-4716-873E-F86CA95F607C}" type="presOf" srcId="{2340B4CB-9CE5-4E8B-A496-152CE9DDAB3F}" destId="{F870DC74-5C99-4230-8A39-2420AAFE0607}" srcOrd="1" destOrd="0" presId="urn:microsoft.com/office/officeart/2005/8/layout/vProcess5"/>
    <dgm:cxn modelId="{5ABF8A4E-37BA-4E2B-92A9-4467F565327D}" type="presOf" srcId="{3CFA95D5-1E96-4C1F-994B-8EB56162935A}" destId="{B27316FB-D7A4-46D8-96A0-19BCD60379CB}" srcOrd="0" destOrd="0" presId="urn:microsoft.com/office/officeart/2005/8/layout/vProcess5"/>
    <dgm:cxn modelId="{AAA2B6EA-2844-47BB-9E59-7B4645234166}" srcId="{B7F8891A-CE06-41E7-A3D4-2E4695BF62E5}" destId="{2340B4CB-9CE5-4E8B-A496-152CE9DDAB3F}" srcOrd="2" destOrd="0" parTransId="{7841CB96-7FA2-44A0-AFF1-529599D7033D}" sibTransId="{CC18BEB9-1F45-42DC-8E04-AA66CD8B9182}"/>
    <dgm:cxn modelId="{6D50EF4F-2358-4596-A689-706553B55704}" type="presOf" srcId="{B7F8891A-CE06-41E7-A3D4-2E4695BF62E5}" destId="{EB43D2DB-4724-4CAD-8A88-4CE4CC12C38C}" srcOrd="0" destOrd="0" presId="urn:microsoft.com/office/officeart/2005/8/layout/vProcess5"/>
    <dgm:cxn modelId="{BA1AD6C6-EEE4-4704-B0BE-3C0D7C261793}" type="presParOf" srcId="{EB43D2DB-4724-4CAD-8A88-4CE4CC12C38C}" destId="{FF919C1F-EA12-43AE-AA30-DBF22FDA4A75}" srcOrd="0" destOrd="0" presId="urn:microsoft.com/office/officeart/2005/8/layout/vProcess5"/>
    <dgm:cxn modelId="{036859CF-E449-46EA-9814-610128F7D964}" type="presParOf" srcId="{EB43D2DB-4724-4CAD-8A88-4CE4CC12C38C}" destId="{B27316FB-D7A4-46D8-96A0-19BCD60379CB}" srcOrd="1" destOrd="0" presId="urn:microsoft.com/office/officeart/2005/8/layout/vProcess5"/>
    <dgm:cxn modelId="{FB2E7635-A6B6-4862-BC9A-60259655C554}" type="presParOf" srcId="{EB43D2DB-4724-4CAD-8A88-4CE4CC12C38C}" destId="{0FACEB8A-0455-4D63-B9AB-E3FDD7EF4090}" srcOrd="2" destOrd="0" presId="urn:microsoft.com/office/officeart/2005/8/layout/vProcess5"/>
    <dgm:cxn modelId="{A30D2861-8971-4E17-A6D9-44C44770EE51}" type="presParOf" srcId="{EB43D2DB-4724-4CAD-8A88-4CE4CC12C38C}" destId="{9049F9B5-0E83-4AD1-BC36-57D4C0B8D5ED}" srcOrd="3" destOrd="0" presId="urn:microsoft.com/office/officeart/2005/8/layout/vProcess5"/>
    <dgm:cxn modelId="{AF532A7D-A251-4100-96B6-1A5A57A0DD57}" type="presParOf" srcId="{EB43D2DB-4724-4CAD-8A88-4CE4CC12C38C}" destId="{44AC6BA8-FB6F-466C-978A-32248FC30268}" srcOrd="4" destOrd="0" presId="urn:microsoft.com/office/officeart/2005/8/layout/vProcess5"/>
    <dgm:cxn modelId="{8D70A90E-96D1-4F81-A17F-2A990224D46E}" type="presParOf" srcId="{EB43D2DB-4724-4CAD-8A88-4CE4CC12C38C}" destId="{67B25305-C4CE-4C47-A0AC-ABC87AD7545E}" srcOrd="5" destOrd="0" presId="urn:microsoft.com/office/officeart/2005/8/layout/vProcess5"/>
    <dgm:cxn modelId="{E62A1FCE-C870-4F7A-8C0B-E8B088496D58}" type="presParOf" srcId="{EB43D2DB-4724-4CAD-8A88-4CE4CC12C38C}" destId="{B77137C2-4860-42D4-A648-DD943F779D68}" srcOrd="6" destOrd="0" presId="urn:microsoft.com/office/officeart/2005/8/layout/vProcess5"/>
    <dgm:cxn modelId="{5FC29C38-C5BB-42F3-8861-0A391B244B1D}" type="presParOf" srcId="{EB43D2DB-4724-4CAD-8A88-4CE4CC12C38C}" destId="{B3AE5AF6-5E6F-43C3-8157-1C71D1E5F27F}" srcOrd="7" destOrd="0" presId="urn:microsoft.com/office/officeart/2005/8/layout/vProcess5"/>
    <dgm:cxn modelId="{DDC969B7-5B84-491C-8311-854DCE690EB2}" type="presParOf" srcId="{EB43D2DB-4724-4CAD-8A88-4CE4CC12C38C}" destId="{F870DC74-5C99-4230-8A39-2420AAFE0607}" srcOrd="8" destOrd="0" presId="urn:microsoft.com/office/officeart/2005/8/layout/vProcess5"/>
  </dgm:cxnLst>
  <dgm:bg>
    <a:solidFill>
      <a:schemeClr val="bg2">
        <a:lumMod val="75000"/>
      </a:schemeClr>
    </a:solidFill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Process5">
  <dgm:title val=""/>
  <dgm:desc val=""/>
  <dgm:catLst>
    <dgm:cat type="process" pri="1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</dgm:cxnLst>
      <dgm:bg/>
      <dgm:whole/>
    </dgm:dataModel>
  </dgm:clrData>
  <dgm:layoutNode name="outerComposite">
    <dgm:varLst>
      <dgm:chMax val="5"/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0">
      <dgm:if name="Name1" func="var" arg="dir" op="equ" val="norm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l" for="ch" forName="TwoNodes_1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r" for="ch" forName="TwoNodes_2" refType="w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r" for="ch" forName="TwoConn_1-2" refType="r" refFor="ch" refForName="TwoNodes_1"/>
          <dgm:constr type="r" for="ch" forName="TwoNodes_1_text" refType="l" refFor="ch" refForName="TwoConn_1-2"/>
          <dgm:constr type="rOff" for="ch" forName="TwoNodes_1_text" refType="w" refFor="ch" refForName="TwoConn_1-2" fact="-0.5"/>
          <dgm:constr type="t" for="ch" forName="TwoNodes_1_text" refType="t" refFor="ch" refForName="TwoNodes_1"/>
          <dgm:constr type="b" for="ch" forName="TwoNodes_1_text" refType="b" refFor="ch" refForName="TwoNodes_1"/>
          <dgm:constr type="l" for="ch" forName="TwoNodes_1_text" refType="l" refFor="ch" refForName="TwoNodes_1"/>
          <dgm:constr type="r" for="ch" forName="TwoNodes_2_text" refType="l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l" for="ch" forName="TwoNodes_2_text" refType="l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l" for="ch" forName="ThreeNodes_1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r" for="ch" forName="ThreeNodes_3" refType="w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r" for="ch" forName="ThreeConn_1-2" refType="r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r" for="ch" forName="ThreeConn_2-3" refType="r" refFor="ch" refForName="ThreeNodes_2"/>
          <dgm:constr type="r" for="ch" forName="ThreeNodes_1_text" refType="l" refFor="ch" refForName="ThreeConn_1-2"/>
          <dgm:constr type="rOff" for="ch" forName="ThreeNodes_1_text" refType="w" refFor="ch" refForName="ThreeConn_1-2" fact="-0.57"/>
          <dgm:constr type="t" for="ch" forName="ThreeNodes_1_text" refType="t" refFor="ch" refForName="ThreeNodes_1"/>
          <dgm:constr type="b" for="ch" forName="ThreeNodes_1_text" refType="b" refFor="ch" refForName="ThreeNodes_1"/>
          <dgm:constr type="l" for="ch" forName="ThreeNodes_1_text" refType="l" refFor="ch" refForName="ThreeNodes_1"/>
          <dgm:constr type="r" for="ch" forName="ThreeNodes_2_text" refType="l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l" for="ch" forName="ThreeNodes_2_text" refType="l" refFor="ch" refForName="ThreeNodes_2"/>
          <dgm:constr type="r" for="ch" forName="ThreeNodes_3_text" refType="l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l" for="ch" forName="ThreeNodes_3_text" refType="l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l" for="ch" forName="FourNodes_1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467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533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r" for="ch" forName="FourNodes_4" refType="w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r" for="ch" forName="FourConn_1-2" refType="r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r" for="ch" forName="FourConn_2-3" refType="r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r" for="ch" forName="FourConn_3-4" refType="r" refFor="ch" refForName="FourNodes_3"/>
          <dgm:constr type="r" for="ch" forName="FourNodes_1_text" refType="l" refFor="ch" refForName="FourConn_1-2"/>
          <dgm:constr type="rOff" for="ch" forName="FourNodes_1_text" refType="w" refFor="ch" refForName="FourConn_1-2" fact="-0.7"/>
          <dgm:constr type="t" for="ch" forName="FourNodes_1_text" refType="t" refFor="ch" refForName="FourNodes_1"/>
          <dgm:constr type="b" for="ch" forName="FourNodes_1_text" refType="b" refFor="ch" refForName="FourNodes_1"/>
          <dgm:constr type="l" for="ch" forName="FourNodes_1_text" refType="l" refFor="ch" refForName="FourNodes_1"/>
          <dgm:constr type="r" for="ch" forName="FourNodes_2_text" refType="l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l" for="ch" forName="FourNodes_2_text" refType="l" refFor="ch" refForName="FourNodes_2"/>
          <dgm:constr type="r" for="ch" forName="FourNodes_3_text" refType="l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l" for="ch" forName="FourNodes_3_text" refType="l" refFor="ch" refForName="FourNodes_3"/>
          <dgm:constr type="r" for="ch" forName="FourNodes_4_text" refType="l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l" for="ch" forName="FourNodes_4_text" refType="l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l" for="ch" forName="FiveNodes_1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442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557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r" for="ch" forName="FiveNodes_5" refType="w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r" for="ch" forName="FiveConn_1-2" refType="r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r" for="ch" forName="FiveConn_2-3" refType="r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r" for="ch" forName="FiveConn_3-4" refType="r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r" for="ch" forName="FiveConn_4-5" refType="r" refFor="ch" refForName="FiveNodes_4"/>
          <dgm:constr type="r" for="ch" forName="FiveNodes_1_text" refType="l" refFor="ch" refForName="FiveConn_1-2"/>
          <dgm:constr type="rOff" for="ch" forName="FiveNodes_1_text" refType="w" refFor="ch" refForName="FiveConn_1-2" fact="-0.75"/>
          <dgm:constr type="t" for="ch" forName="FiveNodes_1_text" refType="t" refFor="ch" refForName="FiveNodes_1"/>
          <dgm:constr type="b" for="ch" forName="FiveNodes_1_text" refType="b" refFor="ch" refForName="FiveNodes_1"/>
          <dgm:constr type="l" for="ch" forName="FiveNodes_1_text" refType="l" refFor="ch" refForName="FiveNodes_1"/>
          <dgm:constr type="r" for="ch" forName="FiveNodes_2_text" refType="l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l" for="ch" forName="FiveNodes_2_text" refType="l" refFor="ch" refForName="FiveNodes_2"/>
          <dgm:constr type="r" for="ch" forName="FiveNodes_3_text" refType="l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l" for="ch" forName="FiveNodes_3_text" refType="l" refFor="ch" refForName="FiveNodes_3"/>
          <dgm:constr type="r" for="ch" forName="FiveNodes_4_text" refType="l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l" for="ch" forName="FiveNodes_4_text" refType="l" refFor="ch" refForName="FiveNodes_4"/>
          <dgm:constr type="r" for="ch" forName="FiveNodes_5_text" refType="l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l" for="ch" forName="FiveNodes_5_text" refType="l" refFor="ch" refForName="FiveNodes_5"/>
        </dgm:constrLst>
      </dgm:if>
      <dgm:else name="Name2">
        <dgm:constrLst>
          <dgm:constr type="primFontSz" for="ch" ptType="node" op="equ" val="65"/>
          <dgm:constr type="w" for="ch" forName="dummyMaxCanvas" refType="w"/>
          <dgm:constr type="h" for="ch" forName="dummyMaxCanvas" refType="h"/>
          <dgm:constr type="w" for="ch" forName="OneNode_1" refType="w"/>
          <dgm:constr type="h" for="ch" forName="OneNode_1" refType="h" fact="0.5"/>
          <dgm:constr type="ctrY" for="ch" forName="OneNode_1" refType="h" fact="0.5"/>
          <dgm:constr type="w" for="ch" forName="TwoNodes_1" refType="w" fact="0.85"/>
          <dgm:constr type="h" for="ch" forName="TwoNodes_1" refType="h" fact="0.45"/>
          <dgm:constr type="t" for="ch" forName="TwoNodes_1"/>
          <dgm:constr type="r" for="ch" forName="TwoNodes_1" refType="w"/>
          <dgm:constr type="w" for="ch" forName="TwoNodes_2" refType="w" fact="0.85"/>
          <dgm:constr type="h" for="ch" forName="TwoNodes_2" refType="h" fact="0.45"/>
          <dgm:constr type="b" for="ch" forName="TwoNodes_2" refType="h"/>
          <dgm:constr type="l" for="ch" forName="TwoNodes_2"/>
          <dgm:constr type="w" for="ch" forName="TwoConn_1-2" refType="h" refFor="ch" refForName="TwoNodes_1" fact="0.65"/>
          <dgm:constr type="h" for="ch" forName="TwoConn_1-2" refType="h" refFor="ch" refForName="TwoNodes_1" fact="0.65"/>
          <dgm:constr type="ctrY" for="ch" forName="TwoConn_1-2" refType="h" fact="0.5"/>
          <dgm:constr type="l" for="ch" forName="TwoConn_1-2" refType="l" refFor="ch" refForName="TwoNodes_1"/>
          <dgm:constr type="l" for="ch" forName="TwoNodes_1_text" refType="r" refFor="ch" refForName="TwoConn_1-2"/>
          <dgm:constr type="lOff" for="ch" forName="TwoNodes_1_text" refType="w" refFor="ch" refForName="TwoConn_1-2" fact="0.5"/>
          <dgm:constr type="t" for="ch" forName="TwoNodes_1_text" refType="t" refFor="ch" refForName="TwoNodes_1"/>
          <dgm:constr type="b" for="ch" forName="TwoNodes_1_text" refType="b" refFor="ch" refForName="TwoNodes_1"/>
          <dgm:constr type="r" for="ch" forName="TwoNodes_1_text" refType="r" refFor="ch" refForName="TwoNodes_1"/>
          <dgm:constr type="l" for="ch" forName="TwoNodes_2_text" refType="r" refFor="ch" refForName="TwoConn_1-2"/>
          <dgm:constr type="t" for="ch" forName="TwoNodes_2_text" refType="t" refFor="ch" refForName="TwoNodes_2"/>
          <dgm:constr type="b" for="ch" forName="TwoNodes_2_text" refType="b" refFor="ch" refForName="TwoNodes_2"/>
          <dgm:constr type="r" for="ch" forName="TwoNodes_2_text" refType="r" refFor="ch" refForName="TwoNodes_2"/>
          <dgm:constr type="w" for="ch" forName="ThreeNodes_1" refType="w" fact="0.85"/>
          <dgm:constr type="h" for="ch" forName="ThreeNodes_1" refType="h" fact="0.3"/>
          <dgm:constr type="t" for="ch" forName="ThreeNodes_1"/>
          <dgm:constr type="r" for="ch" forName="ThreeNodes_1" refType="w"/>
          <dgm:constr type="w" for="ch" forName="ThreeNodes_2" refType="w" fact="0.85"/>
          <dgm:constr type="h" for="ch" forName="ThreeNodes_2" refType="h" fact="0.3"/>
          <dgm:constr type="ctrY" for="ch" forName="ThreeNodes_2" refType="h" fact="0.5"/>
          <dgm:constr type="ctrX" for="ch" forName="ThreeNodes_2" refType="w" fact="0.5"/>
          <dgm:constr type="w" for="ch" forName="ThreeNodes_3" refType="w" fact="0.85"/>
          <dgm:constr type="h" for="ch" forName="ThreeNodes_3" refType="h" fact="0.3"/>
          <dgm:constr type="b" for="ch" forName="ThreeNodes_3" refType="h"/>
          <dgm:constr type="l" for="ch" forName="ThreeNodes_3"/>
          <dgm:constr type="w" for="ch" forName="ThreeConn_1-2" refType="h" refFor="ch" refForName="ThreeNodes_1" fact="0.65"/>
          <dgm:constr type="h" for="ch" forName="ThreeConn_1-2" refType="h" refFor="ch" refForName="ThreeNodes_1" fact="0.65"/>
          <dgm:constr type="ctrY" for="ch" forName="ThreeConn_1-2" refType="h" fact="0.325"/>
          <dgm:constr type="l" for="ch" forName="ThreeConn_1-2" refType="l" refFor="ch" refForName="ThreeNodes_1"/>
          <dgm:constr type="w" for="ch" forName="ThreeConn_2-3" refType="h" refFor="ch" refForName="ThreeNodes_2" fact="0.65"/>
          <dgm:constr type="h" for="ch" forName="ThreeConn_2-3" refType="h" refFor="ch" refForName="ThreeNodes_2" fact="0.65"/>
          <dgm:constr type="ctrY" for="ch" forName="ThreeConn_2-3" refType="h" fact="0.673"/>
          <dgm:constr type="l" for="ch" forName="ThreeConn_2-3" refType="l" refFor="ch" refForName="ThreeNodes_2"/>
          <dgm:constr type="l" for="ch" forName="ThreeNodes_1_text" refType="r" refFor="ch" refForName="ThreeConn_1-2"/>
          <dgm:constr type="lOff" for="ch" forName="ThreeNodes_1_text" refType="w" refFor="ch" refForName="ThreeConn_1-2" fact="0.55"/>
          <dgm:constr type="t" for="ch" forName="ThreeNodes_1_text" refType="t" refFor="ch" refForName="ThreeNodes_1"/>
          <dgm:constr type="b" for="ch" forName="ThreeNodes_1_text" refType="b" refFor="ch" refForName="ThreeNodes_1"/>
          <dgm:constr type="r" for="ch" forName="ThreeNodes_1_text" refType="r" refFor="ch" refForName="ThreeNodes_1"/>
          <dgm:constr type="l" for="ch" forName="ThreeNodes_2_text" refType="r" refFor="ch" refForName="ThreeConn_1-2"/>
          <dgm:constr type="t" for="ch" forName="ThreeNodes_2_text" refType="t" refFor="ch" refForName="ThreeNodes_2"/>
          <dgm:constr type="b" for="ch" forName="ThreeNodes_2_text" refType="b" refFor="ch" refForName="ThreeNodes_2"/>
          <dgm:constr type="r" for="ch" forName="ThreeNodes_2_text" refType="r" refFor="ch" refForName="ThreeNodes_2"/>
          <dgm:constr type="l" for="ch" forName="ThreeNodes_3_text" refType="r" refFor="ch" refForName="ThreeConn_2-3"/>
          <dgm:constr type="t" for="ch" forName="ThreeNodes_3_text" refType="t" refFor="ch" refForName="ThreeNodes_3"/>
          <dgm:constr type="b" for="ch" forName="ThreeNodes_3_text" refType="b" refFor="ch" refForName="ThreeNodes_3"/>
          <dgm:constr type="r" for="ch" forName="ThreeNodes_3_text" refType="r" refFor="ch" refForName="ThreeNodes_3"/>
          <dgm:constr type="w" for="ch" forName="FourNodes_1" refType="w" fact="0.8"/>
          <dgm:constr type="h" for="ch" forName="FourNodes_1" refType="h" fact="0.22"/>
          <dgm:constr type="t" for="ch" forName="FourNodes_1"/>
          <dgm:constr type="r" for="ch" forName="FourNodes_1" refType="w"/>
          <dgm:constr type="w" for="ch" forName="FourNodes_2" refType="w" fact="0.8"/>
          <dgm:constr type="h" for="ch" forName="FourNodes_2" refType="h" fact="0.22"/>
          <dgm:constr type="ctrY" for="ch" forName="FourNodes_2" refType="h" fact="0.37"/>
          <dgm:constr type="ctrX" for="ch" forName="FourNodes_2" refType="w" fact="0.533"/>
          <dgm:constr type="w" for="ch" forName="FourNodes_3" refType="w" fact="0.8"/>
          <dgm:constr type="h" for="ch" forName="FourNodes_3" refType="h" fact="0.22"/>
          <dgm:constr type="ctrY" for="ch" forName="FourNodes_3" refType="h" fact="0.63"/>
          <dgm:constr type="ctrX" for="ch" forName="FourNodes_3" refType="w" fact="0.467"/>
          <dgm:constr type="w" for="ch" forName="FourNodes_4" refType="w" fact="0.8"/>
          <dgm:constr type="h" for="ch" forName="FourNodes_4" refType="h" fact="0.22"/>
          <dgm:constr type="b" for="ch" forName="FourNodes_4" refType="h"/>
          <dgm:constr type="l" for="ch" forName="FourNodes_4"/>
          <dgm:constr type="w" for="ch" forName="FourConn_1-2" refType="h" refFor="ch" refForName="FourNodes_1" fact="0.65"/>
          <dgm:constr type="h" for="ch" forName="FourConn_1-2" refType="h" refFor="ch" refForName="FourNodes_1" fact="0.65"/>
          <dgm:constr type="ctrY" for="ch" forName="FourConn_1-2" refType="h" fact="0.24"/>
          <dgm:constr type="l" for="ch" forName="FourConn_1-2" refType="l" refFor="ch" refForName="FourNodes_1"/>
          <dgm:constr type="w" for="ch" forName="FourConn_2-3" refType="h" refFor="ch" refForName="FourNodes_2" fact="0.65"/>
          <dgm:constr type="h" for="ch" forName="FourConn_2-3" refType="h" refFor="ch" refForName="FourNodes_2" fact="0.65"/>
          <dgm:constr type="ctrY" for="ch" forName="FourConn_2-3" refType="h" fact="0.5"/>
          <dgm:constr type="l" for="ch" forName="FourConn_2-3" refType="l" refFor="ch" refForName="FourNodes_2"/>
          <dgm:constr type="w" for="ch" forName="FourConn_3-4" refType="h" refFor="ch" refForName="FourNodes_3" fact="0.65"/>
          <dgm:constr type="h" for="ch" forName="FourConn_3-4" refType="h" refFor="ch" refForName="FourNodes_3" fact="0.65"/>
          <dgm:constr type="ctrY" for="ch" forName="FourConn_3-4" refType="h" fact="0.76"/>
          <dgm:constr type="l" for="ch" forName="FourConn_3-4" refType="l" refFor="ch" refForName="FourNodes_3"/>
          <dgm:constr type="l" for="ch" forName="FourNodes_1_text" refType="r" refFor="ch" refForName="FourConn_1-2"/>
          <dgm:constr type="lOff" for="ch" forName="FourNodes_1_text" refType="w" refFor="ch" refForName="FourConn_1-2" fact="0.69"/>
          <dgm:constr type="t" for="ch" forName="FourNodes_1_text" refType="t" refFor="ch" refForName="FourNodes_1"/>
          <dgm:constr type="b" for="ch" forName="FourNodes_1_text" refType="b" refFor="ch" refForName="FourNodes_1"/>
          <dgm:constr type="r" for="ch" forName="FourNodes_1_text" refType="r" refFor="ch" refForName="FourNodes_1"/>
          <dgm:constr type="l" for="ch" forName="FourNodes_2_text" refType="r" refFor="ch" refForName="FourConn_1-2"/>
          <dgm:constr type="t" for="ch" forName="FourNodes_2_text" refType="t" refFor="ch" refForName="FourNodes_2"/>
          <dgm:constr type="b" for="ch" forName="FourNodes_2_text" refType="b" refFor="ch" refForName="FourNodes_2"/>
          <dgm:constr type="r" for="ch" forName="FourNodes_2_text" refType="r" refFor="ch" refForName="FourNodes_2"/>
          <dgm:constr type="l" for="ch" forName="FourNodes_3_text" refType="r" refFor="ch" refForName="FourConn_2-3"/>
          <dgm:constr type="t" for="ch" forName="FourNodes_3_text" refType="t" refFor="ch" refForName="FourNodes_3"/>
          <dgm:constr type="b" for="ch" forName="FourNodes_3_text" refType="b" refFor="ch" refForName="FourNodes_3"/>
          <dgm:constr type="r" for="ch" forName="FourNodes_3_text" refType="r" refFor="ch" refForName="FourNodes_3"/>
          <dgm:constr type="l" for="ch" forName="FourNodes_4_text" refType="r" refFor="ch" refForName="FourConn_3-4"/>
          <dgm:constr type="t" for="ch" forName="FourNodes_4_text" refType="t" refFor="ch" refForName="FourNodes_4"/>
          <dgm:constr type="b" for="ch" forName="FourNodes_4_text" refType="b" refFor="ch" refForName="FourNodes_4"/>
          <dgm:constr type="r" for="ch" forName="FourNodes_4_text" refType="r" refFor="ch" refForName="FourNodes_4"/>
          <dgm:constr type="w" for="ch" forName="FiveNodes_1" refType="w" fact="0.77"/>
          <dgm:constr type="h" for="ch" forName="FiveNodes_1" refType="h" fact="0.18"/>
          <dgm:constr type="t" for="ch" forName="FiveNodes_1"/>
          <dgm:constr type="r" for="ch" forName="FiveNodes_1" refType="w"/>
          <dgm:constr type="w" for="ch" forName="FiveNodes_2" refType="w" fact="0.77"/>
          <dgm:constr type="h" for="ch" forName="FiveNodes_2" refType="h" fact="0.18"/>
          <dgm:constr type="ctrY" for="ch" forName="FiveNodes_2" refType="h" fact="0.295"/>
          <dgm:constr type="ctrX" for="ch" forName="FiveNodes_2" refType="w" fact="0.5575"/>
          <dgm:constr type="w" for="ch" forName="FiveNodes_3" refType="w" fact="0.77"/>
          <dgm:constr type="h" for="ch" forName="FiveNodes_3" refType="h" fact="0.18"/>
          <dgm:constr type="ctrY" for="ch" forName="FiveNodes_3" refType="h" fact="0.5"/>
          <dgm:constr type="ctrX" for="ch" forName="FiveNodes_3" refType="w" fact="0.5"/>
          <dgm:constr type="w" for="ch" forName="FiveNodes_4" refType="w" fact="0.77"/>
          <dgm:constr type="h" for="ch" forName="FiveNodes_4" refType="h" fact="0.18"/>
          <dgm:constr type="ctrY" for="ch" forName="FiveNodes_4" refType="h" fact="0.705"/>
          <dgm:constr type="ctrX" for="ch" forName="FiveNodes_4" refType="w" fact="0.4425"/>
          <dgm:constr type="w" for="ch" forName="FiveNodes_5" refType="w" fact="0.77"/>
          <dgm:constr type="h" for="ch" forName="FiveNodes_5" refType="h" fact="0.18"/>
          <dgm:constr type="b" for="ch" forName="FiveNodes_5" refType="h"/>
          <dgm:constr type="l" for="ch" forName="FiveNodes_5"/>
          <dgm:constr type="w" for="ch" forName="FiveConn_1-2" refType="h" refFor="ch" refForName="FiveNodes_1" fact="0.65"/>
          <dgm:constr type="h" for="ch" forName="FiveConn_1-2" refType="h" refFor="ch" refForName="FiveNodes_1" fact="0.65"/>
          <dgm:constr type="ctrY" for="ch" forName="FiveConn_1-2" refType="h" fact="0.19"/>
          <dgm:constr type="l" for="ch" forName="FiveConn_1-2" refType="l" refFor="ch" refForName="FiveNodes_1"/>
          <dgm:constr type="w" for="ch" forName="FiveConn_2-3" refType="h" refFor="ch" refForName="FiveNodes_2" fact="0.65"/>
          <dgm:constr type="h" for="ch" forName="FiveConn_2-3" refType="h" refFor="ch" refForName="FiveNodes_2" fact="0.65"/>
          <dgm:constr type="ctrY" for="ch" forName="FiveConn_2-3" refType="h" fact="0.395"/>
          <dgm:constr type="l" for="ch" forName="FiveConn_2-3" refType="l" refFor="ch" refForName="FiveNodes_2"/>
          <dgm:constr type="w" for="ch" forName="FiveConn_3-4" refType="h" refFor="ch" refForName="FiveNodes_3" fact="0.65"/>
          <dgm:constr type="h" for="ch" forName="FiveConn_3-4" refType="h" refFor="ch" refForName="FiveNodes_3" fact="0.65"/>
          <dgm:constr type="ctrY" for="ch" forName="FiveConn_3-4" refType="h" fact="0.597"/>
          <dgm:constr type="l" for="ch" forName="FiveConn_3-4" refType="l" refFor="ch" refForName="FiveNodes_3"/>
          <dgm:constr type="w" for="ch" forName="FiveConn_4-5" refType="h" refFor="ch" refForName="FiveNodes_4" fact="0.65"/>
          <dgm:constr type="h" for="ch" forName="FiveConn_4-5" refType="h" refFor="ch" refForName="FiveNodes_4" fact="0.65"/>
          <dgm:constr type="ctrY" for="ch" forName="FiveConn_4-5" refType="h" fact="0.804"/>
          <dgm:constr type="l" for="ch" forName="FiveConn_4-5" refType="l" refFor="ch" refForName="FiveNodes_4"/>
          <dgm:constr type="l" for="ch" forName="FiveNodes_1_text" refType="r" refFor="ch" refForName="FiveConn_1-2"/>
          <dgm:constr type="lOff" for="ch" forName="FiveNodes_1_text" refType="w" refFor="ch" refForName="FiveConn_1-2" fact="0.73"/>
          <dgm:constr type="t" for="ch" forName="FiveNodes_1_text" refType="t" refFor="ch" refForName="FiveNodes_1"/>
          <dgm:constr type="b" for="ch" forName="FiveNodes_1_text" refType="b" refFor="ch" refForName="FiveNodes_1"/>
          <dgm:constr type="r" for="ch" forName="FiveNodes_1_text" refType="r" refFor="ch" refForName="FiveNodes_1"/>
          <dgm:constr type="l" for="ch" forName="FiveNodes_2_text" refType="r" refFor="ch" refForName="FiveConn_1-2"/>
          <dgm:constr type="t" for="ch" forName="FiveNodes_2_text" refType="t" refFor="ch" refForName="FiveNodes_2"/>
          <dgm:constr type="b" for="ch" forName="FiveNodes_2_text" refType="b" refFor="ch" refForName="FiveNodes_2"/>
          <dgm:constr type="r" for="ch" forName="FiveNodes_2_text" refType="r" refFor="ch" refForName="FiveNodes_2"/>
          <dgm:constr type="l" for="ch" forName="FiveNodes_3_text" refType="r" refFor="ch" refForName="FiveConn_2-3"/>
          <dgm:constr type="t" for="ch" forName="FiveNodes_3_text" refType="t" refFor="ch" refForName="FiveNodes_3"/>
          <dgm:constr type="b" for="ch" forName="FiveNodes_3_text" refType="b" refFor="ch" refForName="FiveNodes_3"/>
          <dgm:constr type="r" for="ch" forName="FiveNodes_3_text" refType="r" refFor="ch" refForName="FiveNodes_3"/>
          <dgm:constr type="l" for="ch" forName="FiveNodes_4_text" refType="r" refFor="ch" refForName="FiveConn_3-4"/>
          <dgm:constr type="t" for="ch" forName="FiveNodes_4_text" refType="t" refFor="ch" refForName="FiveNodes_4"/>
          <dgm:constr type="b" for="ch" forName="FiveNodes_4_text" refType="b" refFor="ch" refForName="FiveNodes_4"/>
          <dgm:constr type="r" for="ch" forName="FiveNodes_4_text" refType="r" refFor="ch" refForName="FiveNodes_4"/>
          <dgm:constr type="l" for="ch" forName="FiveNodes_5_text" refType="r" refFor="ch" refForName="FiveConn_4-5"/>
          <dgm:constr type="t" for="ch" forName="FiveNodes_5_text" refType="t" refFor="ch" refForName="FiveNodes_5"/>
          <dgm:constr type="b" for="ch" forName="FiveNodes_5_text" refType="b" refFor="ch" refForName="FiveNodes_5"/>
          <dgm:constr type="r" for="ch" forName="FiveNodes_5_text" refType="r" refFor="ch" refForName="FiveNodes_5"/>
        </dgm:constrLst>
      </dgm:else>
    </dgm:choose>
    <dgm:ruleLst/>
    <dgm:layoutNode name="dummyMaxCanvas">
      <dgm:varLst/>
      <dgm:alg type="sp"/>
      <dgm:shape xmlns:r="http://schemas.openxmlformats.org/officeDocument/2006/relationships" r:blip="">
        <dgm:adjLst/>
      </dgm:shape>
      <dgm:presOf/>
      <dgm:constrLst/>
      <dgm:ruleLst/>
    </dgm:layoutNode>
    <dgm:choose name="Name3">
      <dgm:if name="Name4" axis="ch" ptType="node" func="cnt" op="equ" val="1">
        <dgm:layoutNode name="OneNode_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ch desOrSelf" ptType="node node" st="1 1" cnt="1 0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if>
      <dgm:else name="Name5">
        <dgm:choose name="Name6">
          <dgm:if name="Name7" axis="ch" ptType="node" func="cnt" op="equ" val="2">
            <dgm:layoutNode name="TwoNodes_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1 1" cnt="1 0"/>
              <dgm:constrLst/>
              <dgm:ruleLst/>
            </dgm:layoutNode>
            <dgm:layoutNode name="TwoNodes_2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ch desOrSelf" ptType="node node" st="2 1" cnt="1 0"/>
              <dgm:constrLst/>
              <dgm:ruleLst/>
            </dgm:layoutNode>
            <dgm:layoutNode name="TwoConn_1-2" styleLbl="fgAccFollowNode1">
              <dgm:varLst>
                <dgm:bulletEnabled val="1"/>
              </dgm:varLst>
              <dgm:alg type="tx"/>
              <dgm:shape xmlns:r="http://schemas.openxmlformats.org/officeDocument/2006/relationships" type="downArrow" r:blip="">
                <dgm:adjLst>
                  <dgm:adj idx="1" val="0.55"/>
                  <dgm:adj idx="2" val="0.45"/>
                </dgm:adjLst>
              </dgm:shape>
              <dgm:presOf axis="ch" ptType="sibTrans" cnt="1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layoutNode name="TwoNodes_1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1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  <dgm:layoutNode name="TwoNodes_2_text">
              <dgm:varLst>
                <dgm:bulletEnabled val="1"/>
              </dgm:varLst>
              <dgm:alg type="tx">
                <dgm:param type="parTxLTRAlign" val="l"/>
                <dgm:param type="txAnchorVertCh" val="mid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ch desOrSelf" ptType="node node" st="2 1" cnt="1 0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if>
          <dgm:else name="Name8">
            <dgm:choose name="Name9">
              <dgm:if name="Name10" axis="ch" ptType="node" func="cnt" op="equ" val="3">
                <dgm:layoutNode name="ThreeNodes_1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1 1" cnt="1 0"/>
                  <dgm:constrLst/>
                  <dgm:ruleLst/>
                </dgm:layoutNode>
                <dgm:layoutNode name="ThreeNodes_2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2 1" cnt="1 0"/>
                  <dgm:constrLst/>
                  <dgm:ruleLst/>
                </dgm:layoutNode>
                <dgm:layoutNode name="ThreeNodes_3">
                  <dgm:varLst>
                    <dgm:bulletEnabled val="1"/>
                  </dgm:varLst>
                  <dgm:alg type="sp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ch desOrSelf" ptType="node node" st="3 1" cnt="1 0"/>
                  <dgm:constrLst/>
                  <dgm:ruleLst/>
                </dgm:layoutNode>
                <dgm:layoutNode name="ThreeConn_1-2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Conn_2-3" styleLbl="fgAccFollowNode1">
                  <dgm:varLst>
                    <dgm:bulletEnabled val="1"/>
                  </dgm:varLst>
                  <dgm:alg type="tx"/>
                  <dgm:shape xmlns:r="http://schemas.openxmlformats.org/officeDocument/2006/relationships" type="downArrow" r:blip="">
                    <dgm:adjLst>
                      <dgm:adj idx="1" val="0.55"/>
                      <dgm:adj idx="2" val="0.45"/>
                    </dgm:adjLst>
                  </dgm:shape>
                  <dgm:presOf axis="ch" ptType="sibTrans" st="2" cnt="1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  <dgm:layoutNode name="ThreeNodes_1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1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2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2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  <dgm:layoutNode name="ThreeNodes_3_text">
                  <dgm:varLst>
                    <dgm:bulletEnabled val="1"/>
                  </dgm:varLst>
                  <dgm:alg type="tx">
                    <dgm:param type="parTxLTRAlign" val="l"/>
                    <dgm:param type="txAnchorVertCh" val="mid"/>
                  </dgm:alg>
                  <dgm:shape xmlns:r="http://schemas.openxmlformats.org/officeDocument/2006/relationships" type="roundRect" r:blip="" hideGeom="1">
                    <dgm:adjLst>
                      <dgm:adj idx="1" val="0.1"/>
                    </dgm:adjLst>
                  </dgm:shape>
                  <dgm:presOf axis="ch desOrSelf" ptType="node node" st="3 1" cnt="1 0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1">
                <dgm:choose name="Name12">
                  <dgm:if name="Name13" axis="ch" ptType="node" func="cnt" op="equ" val="4">
                    <dgm:layoutNode name="FourNodes_1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/>
                      <dgm:ruleLst/>
                    </dgm:layoutNode>
                    <dgm:layoutNode name="FourNodes_2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/>
                      <dgm:ruleLst/>
                    </dgm:layoutNode>
                    <dgm:layoutNode name="FourNodes_3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/>
                      <dgm:ruleLst/>
                    </dgm:layoutNode>
                    <dgm:layoutNode name="FourNodes_4">
                      <dgm:varLst>
                        <dgm:bulletEnabled val="1"/>
                      </dgm:varLst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/>
                      <dgm:ruleLst/>
                    </dgm:layoutNode>
                    <dgm:layoutNode name="FourConn_1-2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2-3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2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Conn_3-4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downArrow" r:blip="">
                        <dgm:adjLst>
                          <dgm:adj idx="1" val="0.55"/>
                          <dgm:adj idx="2" val="0.45"/>
                        </dgm:adjLst>
                      </dgm:shape>
                      <dgm:presOf axis="ch" ptType="sibTrans" st="3" cnt="1"/>
                      <dgm:constrLst>
                        <dgm:constr type="lMarg" refType="primFontSz" fact="0.1"/>
                        <dgm:constr type="rMarg" refType="primFontSz" fact="0.1"/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1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1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2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2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3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3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layoutNode name="FourNodes_4_text">
                      <dgm:varLst>
                        <dgm:bulletEnabled val="1"/>
                      </dgm:varLst>
                      <dgm:alg type="tx">
                        <dgm:param type="parTxLTRAlign" val="l"/>
                        <dgm:param type="txAnchorVertCh" val="mid"/>
                      </dgm:alg>
                      <dgm:shape xmlns:r="http://schemas.openxmlformats.org/officeDocument/2006/relationships" type="roundRect" r:blip="" hideGeom="1">
                        <dgm:adjLst>
                          <dgm:adj idx="1" val="0.1"/>
                        </dgm:adjLst>
                      </dgm:shape>
                      <dgm:presOf axis="ch desOrSelf" ptType="node node" st="4 1" cnt="1 0"/>
                      <dgm:constrLst>
                        <dgm:constr type="lMarg" refType="primFontSz" fact="0.3"/>
                        <dgm:constr type="rMarg" refType="primFontSz" fact="0.3"/>
                        <dgm:constr type="tMarg" refType="primFontSz" fact="0.3"/>
                        <dgm:constr type="b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if>
                  <dgm:else name="Name14">
                    <dgm:choose name="Name15">
                      <dgm:if name="Name16" axis="ch" ptType="node" func="cnt" op="gte" val="5">
                        <dgm:layoutNode name="FiveNodes_1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/>
                          <dgm:ruleLst/>
                        </dgm:layoutNode>
                        <dgm:layoutNode name="FiveNodes_2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/>
                          <dgm:ruleLst/>
                        </dgm:layoutNode>
                        <dgm:layoutNode name="FiveNodes_3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/>
                          <dgm:ruleLst/>
                        </dgm:layoutNode>
                        <dgm:layoutNode name="FiveNodes_4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/>
                          <dgm:ruleLst/>
                        </dgm:layoutNode>
                        <dgm:layoutNode name="FiveNodes_5">
                          <dgm:varLst>
                            <dgm:bulletEnabled val="1"/>
                          </dgm:varLst>
                          <dgm:alg type="sp"/>
                          <dgm:shape xmlns:r="http://schemas.openxmlformats.org/officeDocument/2006/relationships" type="roundRect" r:blip="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/>
                          <dgm:ruleLst/>
                        </dgm:layoutNode>
                        <dgm:layoutNode name="FiveConn_1-2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2-3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2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3-4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3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Conn_4-5" styleLbl="fgAccFollowNode1">
                          <dgm:varLst>
                            <dgm:bulletEnabled val="1"/>
                          </dgm:varLst>
                          <dgm:alg type="tx"/>
                          <dgm:shape xmlns:r="http://schemas.openxmlformats.org/officeDocument/2006/relationships" type="downArrow" r:blip="">
                            <dgm:adjLst>
                              <dgm:adj idx="1" val="0.55"/>
                              <dgm:adj idx="2" val="0.45"/>
                            </dgm:adjLst>
                          </dgm:shape>
                          <dgm:presOf axis="ch" ptType="sibTrans" st="4" cnt="1"/>
                          <dgm:constrLst>
                            <dgm:constr type="lMarg" refType="primFontSz" fact="0.1"/>
                            <dgm:constr type="rMarg" refType="primFontSz" fact="0.1"/>
                            <dgm:constr type="tMarg" refType="primFontSz" fact="0.1"/>
                            <dgm:constr type="bMarg" refType="primFontSz" fact="0.1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1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1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2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2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3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3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4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4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  <dgm:layoutNode name="FiveNodes_5_text">
                          <dgm:varLst>
                            <dgm:bulletEnabled val="1"/>
                          </dgm:varLst>
                          <dgm:alg type="tx">
                            <dgm:param type="parTxLTRAlign" val="l"/>
                            <dgm:param type="txAnchorVertCh" val="mid"/>
                          </dgm:alg>
                          <dgm:shape xmlns:r="http://schemas.openxmlformats.org/officeDocument/2006/relationships" type="roundRect" r:blip="" hideGeom="1">
                            <dgm:adjLst>
                              <dgm:adj idx="1" val="0.1"/>
                            </dgm:adjLst>
                          </dgm:shape>
                          <dgm:presOf axis="ch desOrSelf" ptType="node node" st="5 1" cnt="1 0"/>
                          <dgm:constrLst>
                            <dgm:constr type="lMarg" refType="primFontSz" fact="0.3"/>
                            <dgm:constr type="rMarg" refType="primFontSz" fact="0.3"/>
                            <dgm:constr type="tMarg" refType="primFontSz" fact="0.3"/>
                            <dgm:constr type="bMarg" refType="primFontSz" fact="0.3"/>
                          </dgm:constrLst>
                          <dgm:ruleLst>
                            <dgm:rule type="primFontSz" val="5" fact="NaN" max="NaN"/>
                          </dgm:ruleLst>
                        </dgm:layoutNode>
                      </dgm:if>
                      <dgm:else name="Name17"/>
                    </dgm:choose>
                  </dgm:else>
                </dgm:choose>
              </dgm:else>
            </dgm:choose>
          </dgm:else>
        </dgm:choos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651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uE</Company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dc:description/>
  <cp:lastModifiedBy>WinuE</cp:lastModifiedBy>
  <cp:revision>10</cp:revision>
  <dcterms:created xsi:type="dcterms:W3CDTF">2013-10-27T14:48:00Z</dcterms:created>
  <dcterms:modified xsi:type="dcterms:W3CDTF">2013-10-27T15:48:00Z</dcterms:modified>
</cp:coreProperties>
</file>