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98B" w:rsidRPr="001846B8" w:rsidRDefault="001846B8" w:rsidP="001846B8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SV"/>
        </w:rPr>
      </w:pPr>
      <w:r w:rsidRPr="001846B8">
        <w:rPr>
          <w:rFonts w:ascii="Arial" w:hAnsi="Arial" w:cs="Arial"/>
          <w:b/>
          <w:sz w:val="24"/>
          <w:szCs w:val="24"/>
          <w:lang w:val="es-SV"/>
        </w:rPr>
        <w:t>Precios de Transferencia.</w:t>
      </w:r>
    </w:p>
    <w:p w:rsidR="001846B8" w:rsidRPr="001846B8" w:rsidRDefault="001846B8" w:rsidP="001846B8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1846B8">
        <w:rPr>
          <w:rFonts w:ascii="Arial" w:hAnsi="Arial" w:cs="Arial"/>
          <w:b/>
          <w:sz w:val="24"/>
          <w:szCs w:val="24"/>
          <w:lang w:val="es-SV"/>
        </w:rPr>
        <w:t>Concepto:</w:t>
      </w:r>
    </w:p>
    <w:p w:rsidR="001846B8" w:rsidRPr="001846B8" w:rsidRDefault="001846B8" w:rsidP="001846B8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1846B8">
        <w:rPr>
          <w:rFonts w:ascii="Arial" w:hAnsi="Arial" w:cs="Arial"/>
          <w:sz w:val="24"/>
          <w:szCs w:val="24"/>
          <w:lang w:val="es-SV"/>
        </w:rPr>
        <w:t>“El  precio  pactado  en  la  transfer</w:t>
      </w:r>
      <w:r>
        <w:rPr>
          <w:rFonts w:ascii="Arial" w:hAnsi="Arial" w:cs="Arial"/>
          <w:sz w:val="24"/>
          <w:szCs w:val="24"/>
          <w:lang w:val="es-SV"/>
        </w:rPr>
        <w:t xml:space="preserve">encia  de  bienes  tangibles  o </w:t>
      </w:r>
      <w:r w:rsidRPr="001846B8">
        <w:rPr>
          <w:rFonts w:ascii="Arial" w:hAnsi="Arial" w:cs="Arial"/>
          <w:sz w:val="24"/>
          <w:szCs w:val="24"/>
          <w:lang w:val="es-SV"/>
        </w:rPr>
        <w:t>intangibles,  prestación  de  servicios,</w:t>
      </w:r>
      <w:r>
        <w:rPr>
          <w:rFonts w:ascii="Arial" w:hAnsi="Arial" w:cs="Arial"/>
          <w:sz w:val="24"/>
          <w:szCs w:val="24"/>
          <w:lang w:val="es-SV"/>
        </w:rPr>
        <w:t xml:space="preserve">  o  cualquier  otra  operación </w:t>
      </w:r>
      <w:r w:rsidRPr="001846B8">
        <w:rPr>
          <w:rFonts w:ascii="Arial" w:hAnsi="Arial" w:cs="Arial"/>
          <w:sz w:val="24"/>
          <w:szCs w:val="24"/>
          <w:lang w:val="es-SV"/>
        </w:rPr>
        <w:t>realizada entre entidades o sujetos relacionados” .</w:t>
      </w:r>
    </w:p>
    <w:p w:rsidR="001846B8" w:rsidRPr="001846B8" w:rsidRDefault="001846B8" w:rsidP="001846B8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1846B8">
        <w:rPr>
          <w:rFonts w:ascii="Arial" w:hAnsi="Arial" w:cs="Arial"/>
          <w:b/>
          <w:sz w:val="24"/>
          <w:szCs w:val="24"/>
          <w:lang w:val="es-SV"/>
        </w:rPr>
        <w:t>Los precios de transferencia pueden visualizarse bajo dos enfoques:</w:t>
      </w:r>
    </w:p>
    <w:p w:rsidR="001846B8" w:rsidRPr="001846B8" w:rsidRDefault="001846B8" w:rsidP="001846B8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1846B8">
        <w:rPr>
          <w:rFonts w:ascii="Arial" w:hAnsi="Arial" w:cs="Arial"/>
          <w:sz w:val="24"/>
          <w:szCs w:val="24"/>
          <w:lang w:val="es-SV"/>
        </w:rPr>
        <w:t>1. Para  los  grandes  grupos  multinacio</w:t>
      </w:r>
      <w:r>
        <w:rPr>
          <w:rFonts w:ascii="Arial" w:hAnsi="Arial" w:cs="Arial"/>
          <w:sz w:val="24"/>
          <w:szCs w:val="24"/>
          <w:lang w:val="es-SV"/>
        </w:rPr>
        <w:t xml:space="preserve">nales  el  objetivo  es  buscar </w:t>
      </w:r>
      <w:r w:rsidRPr="001846B8">
        <w:rPr>
          <w:rFonts w:ascii="Arial" w:hAnsi="Arial" w:cs="Arial"/>
          <w:sz w:val="24"/>
          <w:szCs w:val="24"/>
          <w:lang w:val="es-SV"/>
        </w:rPr>
        <w:t xml:space="preserve">territorios,  jurisdicciones  o  países  </w:t>
      </w:r>
      <w:r>
        <w:rPr>
          <w:rFonts w:ascii="Arial" w:hAnsi="Arial" w:cs="Arial"/>
          <w:sz w:val="24"/>
          <w:szCs w:val="24"/>
          <w:lang w:val="es-SV"/>
        </w:rPr>
        <w:t xml:space="preserve">en  donde  puedan  cumplir  sus </w:t>
      </w:r>
      <w:r w:rsidRPr="001846B8">
        <w:rPr>
          <w:rFonts w:ascii="Arial" w:hAnsi="Arial" w:cs="Arial"/>
          <w:sz w:val="24"/>
          <w:szCs w:val="24"/>
          <w:lang w:val="es-SV"/>
        </w:rPr>
        <w:t>obligaciones  fiscales  con  tasas  reduci</w:t>
      </w:r>
      <w:r>
        <w:rPr>
          <w:rFonts w:ascii="Arial" w:hAnsi="Arial" w:cs="Arial"/>
          <w:sz w:val="24"/>
          <w:szCs w:val="24"/>
          <w:lang w:val="es-SV"/>
        </w:rPr>
        <w:t xml:space="preserve">das,  con  bases  gravables </w:t>
      </w:r>
      <w:r w:rsidRPr="001846B8">
        <w:rPr>
          <w:rFonts w:ascii="Arial" w:hAnsi="Arial" w:cs="Arial"/>
          <w:sz w:val="24"/>
          <w:szCs w:val="24"/>
          <w:lang w:val="es-SV"/>
        </w:rPr>
        <w:t>sumamente  limitadas  y  de  ser  posible,</w:t>
      </w:r>
      <w:r>
        <w:rPr>
          <w:rFonts w:ascii="Arial" w:hAnsi="Arial" w:cs="Arial"/>
          <w:sz w:val="24"/>
          <w:szCs w:val="24"/>
          <w:lang w:val="es-SV"/>
        </w:rPr>
        <w:t xml:space="preserve">  con  la  </w:t>
      </w:r>
      <w:proofErr w:type="spellStart"/>
      <w:r>
        <w:rPr>
          <w:rFonts w:ascii="Arial" w:hAnsi="Arial" w:cs="Arial"/>
          <w:sz w:val="24"/>
          <w:szCs w:val="24"/>
          <w:lang w:val="es-SV"/>
        </w:rPr>
        <w:t>mas</w:t>
      </w:r>
      <w:proofErr w:type="spellEnd"/>
      <w:r>
        <w:rPr>
          <w:rFonts w:ascii="Arial" w:hAnsi="Arial" w:cs="Arial"/>
          <w:sz w:val="24"/>
          <w:szCs w:val="24"/>
          <w:lang w:val="es-SV"/>
        </w:rPr>
        <w:t xml:space="preserve">  baja  precisión </w:t>
      </w:r>
      <w:r w:rsidRPr="001846B8">
        <w:rPr>
          <w:rFonts w:ascii="Arial" w:hAnsi="Arial" w:cs="Arial"/>
          <w:sz w:val="24"/>
          <w:szCs w:val="24"/>
          <w:lang w:val="es-SV"/>
        </w:rPr>
        <w:t>fiscal, optimizando así sus utilidades.</w:t>
      </w:r>
    </w:p>
    <w:p w:rsidR="001846B8" w:rsidRDefault="001846B8" w:rsidP="001846B8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1846B8">
        <w:rPr>
          <w:rFonts w:ascii="Arial" w:hAnsi="Arial" w:cs="Arial"/>
          <w:sz w:val="24"/>
          <w:szCs w:val="24"/>
          <w:lang w:val="es-SV"/>
        </w:rPr>
        <w:t>2. Por  su  cuenta  las  administraciones  trib</w:t>
      </w:r>
      <w:r>
        <w:rPr>
          <w:rFonts w:ascii="Arial" w:hAnsi="Arial" w:cs="Arial"/>
          <w:sz w:val="24"/>
          <w:szCs w:val="24"/>
          <w:lang w:val="es-SV"/>
        </w:rPr>
        <w:t xml:space="preserve">utarias  de  cada  uno  de  los </w:t>
      </w:r>
      <w:r w:rsidRPr="001846B8">
        <w:rPr>
          <w:rFonts w:ascii="Arial" w:hAnsi="Arial" w:cs="Arial"/>
          <w:sz w:val="24"/>
          <w:szCs w:val="24"/>
          <w:lang w:val="es-SV"/>
        </w:rPr>
        <w:t>países  del  mundo desean  gravar la rique</w:t>
      </w:r>
      <w:r>
        <w:rPr>
          <w:rFonts w:ascii="Arial" w:hAnsi="Arial" w:cs="Arial"/>
          <w:sz w:val="24"/>
          <w:szCs w:val="24"/>
          <w:lang w:val="es-SV"/>
        </w:rPr>
        <w:t xml:space="preserve">za  generada  por  los  sujetos </w:t>
      </w:r>
      <w:r w:rsidRPr="001846B8">
        <w:rPr>
          <w:rFonts w:ascii="Arial" w:hAnsi="Arial" w:cs="Arial"/>
          <w:sz w:val="24"/>
          <w:szCs w:val="24"/>
          <w:lang w:val="es-SV"/>
        </w:rPr>
        <w:t>que  se  encuentran  bajo  su  soberaní</w:t>
      </w:r>
      <w:r>
        <w:rPr>
          <w:rFonts w:ascii="Arial" w:hAnsi="Arial" w:cs="Arial"/>
          <w:sz w:val="24"/>
          <w:szCs w:val="24"/>
          <w:lang w:val="es-SV"/>
        </w:rPr>
        <w:t xml:space="preserve">a  fiscal  con  el  objeto  que </w:t>
      </w:r>
      <w:r w:rsidRPr="001846B8">
        <w:rPr>
          <w:rFonts w:ascii="Arial" w:hAnsi="Arial" w:cs="Arial"/>
          <w:sz w:val="24"/>
          <w:szCs w:val="24"/>
          <w:lang w:val="es-SV"/>
        </w:rPr>
        <w:t xml:space="preserve">paguen  el  impuesto  que  hubiera  </w:t>
      </w:r>
      <w:r>
        <w:rPr>
          <w:rFonts w:ascii="Arial" w:hAnsi="Arial" w:cs="Arial"/>
          <w:sz w:val="24"/>
          <w:szCs w:val="24"/>
          <w:lang w:val="es-SV"/>
        </w:rPr>
        <w:t xml:space="preserve">correspondido,  en  operaciones </w:t>
      </w:r>
      <w:r w:rsidRPr="001846B8">
        <w:rPr>
          <w:rFonts w:ascii="Arial" w:hAnsi="Arial" w:cs="Arial"/>
          <w:sz w:val="24"/>
          <w:szCs w:val="24"/>
          <w:lang w:val="es-SV"/>
        </w:rPr>
        <w:t>realizadas  en  un  mercado  abierto,  fue</w:t>
      </w:r>
      <w:r>
        <w:rPr>
          <w:rFonts w:ascii="Arial" w:hAnsi="Arial" w:cs="Arial"/>
          <w:sz w:val="24"/>
          <w:szCs w:val="24"/>
          <w:lang w:val="es-SV"/>
        </w:rPr>
        <w:t xml:space="preserve">ra  de  cualquier  manipulación </w:t>
      </w:r>
      <w:r w:rsidRPr="001846B8">
        <w:rPr>
          <w:rFonts w:ascii="Arial" w:hAnsi="Arial" w:cs="Arial"/>
          <w:sz w:val="24"/>
          <w:szCs w:val="24"/>
          <w:lang w:val="es-SV"/>
        </w:rPr>
        <w:t>posible.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3B7339">
        <w:rPr>
          <w:rFonts w:ascii="Arial" w:hAnsi="Arial" w:cs="Arial"/>
          <w:b/>
          <w:sz w:val="24"/>
          <w:szCs w:val="24"/>
          <w:lang w:val="es-SV"/>
        </w:rPr>
        <w:t>Determinación de Precios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 xml:space="preserve">Artículo 62-A del C. </w:t>
      </w:r>
      <w:r w:rsidRPr="003B7339">
        <w:rPr>
          <w:rFonts w:ascii="Arial" w:hAnsi="Arial" w:cs="Arial"/>
          <w:sz w:val="24"/>
          <w:szCs w:val="24"/>
          <w:lang w:val="es-SV"/>
        </w:rPr>
        <w:t>T.</w:t>
      </w:r>
    </w:p>
    <w:p w:rsidR="001846B8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Para  efectos  tributarios,  los  contribuyen</w:t>
      </w:r>
      <w:r>
        <w:rPr>
          <w:rFonts w:ascii="Arial" w:hAnsi="Arial" w:cs="Arial"/>
          <w:sz w:val="24"/>
          <w:szCs w:val="24"/>
          <w:lang w:val="es-SV"/>
        </w:rPr>
        <w:t xml:space="preserve">tes  que  celebren  operaciones </w:t>
      </w:r>
      <w:r w:rsidRPr="003B7339">
        <w:rPr>
          <w:rFonts w:ascii="Arial" w:hAnsi="Arial" w:cs="Arial"/>
          <w:sz w:val="24"/>
          <w:szCs w:val="24"/>
          <w:lang w:val="es-SV"/>
        </w:rPr>
        <w:t>o  transacciones  con  sujetos  relac</w:t>
      </w:r>
      <w:r>
        <w:rPr>
          <w:rFonts w:ascii="Arial" w:hAnsi="Arial" w:cs="Arial"/>
          <w:sz w:val="24"/>
          <w:szCs w:val="24"/>
          <w:lang w:val="es-SV"/>
        </w:rPr>
        <w:t xml:space="preserve">ionados,  estarán  obligados  a </w:t>
      </w:r>
      <w:r w:rsidRPr="003B7339">
        <w:rPr>
          <w:rFonts w:ascii="Arial" w:hAnsi="Arial" w:cs="Arial"/>
          <w:sz w:val="24"/>
          <w:szCs w:val="24"/>
          <w:lang w:val="es-SV"/>
        </w:rPr>
        <w:t>determinar  los  precios  y  monto</w:t>
      </w:r>
      <w:r>
        <w:rPr>
          <w:rFonts w:ascii="Arial" w:hAnsi="Arial" w:cs="Arial"/>
          <w:sz w:val="24"/>
          <w:szCs w:val="24"/>
          <w:lang w:val="es-SV"/>
        </w:rPr>
        <w:t xml:space="preserve">s  de  las  contraprestaciones, </w:t>
      </w:r>
      <w:r w:rsidRPr="003B7339">
        <w:rPr>
          <w:rFonts w:ascii="Arial" w:hAnsi="Arial" w:cs="Arial"/>
          <w:sz w:val="24"/>
          <w:szCs w:val="24"/>
          <w:lang w:val="es-SV"/>
        </w:rPr>
        <w:t>considerando  para  esas  operaci</w:t>
      </w:r>
      <w:r>
        <w:rPr>
          <w:rFonts w:ascii="Arial" w:hAnsi="Arial" w:cs="Arial"/>
          <w:sz w:val="24"/>
          <w:szCs w:val="24"/>
          <w:lang w:val="es-SV"/>
        </w:rPr>
        <w:t xml:space="preserve">ones  los  precios  de  mercado </w:t>
      </w:r>
      <w:r w:rsidRPr="003B7339">
        <w:rPr>
          <w:rFonts w:ascii="Arial" w:hAnsi="Arial" w:cs="Arial"/>
          <w:sz w:val="24"/>
          <w:szCs w:val="24"/>
          <w:lang w:val="es-SV"/>
        </w:rPr>
        <w:t>utilizados  en  transferencias  de  bienes  o  prestació</w:t>
      </w:r>
      <w:r>
        <w:rPr>
          <w:rFonts w:ascii="Arial" w:hAnsi="Arial" w:cs="Arial"/>
          <w:sz w:val="24"/>
          <w:szCs w:val="24"/>
          <w:lang w:val="es-SV"/>
        </w:rPr>
        <w:t xml:space="preserve">n  de  servicios  de  la </w:t>
      </w:r>
      <w:r w:rsidRPr="003B7339">
        <w:rPr>
          <w:rFonts w:ascii="Arial" w:hAnsi="Arial" w:cs="Arial"/>
          <w:sz w:val="24"/>
          <w:szCs w:val="24"/>
          <w:lang w:val="es-SV"/>
        </w:rPr>
        <w:t>misma  especie,  entre  sujetos  independientes.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3B7339">
        <w:rPr>
          <w:rFonts w:ascii="Arial" w:hAnsi="Arial" w:cs="Arial"/>
          <w:b/>
          <w:sz w:val="24"/>
          <w:szCs w:val="24"/>
          <w:lang w:val="es-SV"/>
        </w:rPr>
        <w:t>Estimación de la Base Imponible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>
        <w:rPr>
          <w:rFonts w:ascii="Arial" w:hAnsi="Arial" w:cs="Arial"/>
          <w:sz w:val="24"/>
          <w:szCs w:val="24"/>
          <w:lang w:val="es-SV"/>
        </w:rPr>
        <w:t>Artículo 199-A del C. T</w:t>
      </w:r>
      <w:r w:rsidRPr="003B7339">
        <w:rPr>
          <w:rFonts w:ascii="Arial" w:hAnsi="Arial" w:cs="Arial"/>
          <w:sz w:val="24"/>
          <w:szCs w:val="24"/>
          <w:lang w:val="es-SV"/>
        </w:rPr>
        <w:t xml:space="preserve">. 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Se faculta a la Administración  Tributaria para</w:t>
      </w:r>
      <w:r>
        <w:rPr>
          <w:rFonts w:ascii="Arial" w:hAnsi="Arial" w:cs="Arial"/>
          <w:sz w:val="24"/>
          <w:szCs w:val="24"/>
          <w:lang w:val="es-SV"/>
        </w:rPr>
        <w:t>: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lastRenderedPageBreak/>
        <w:t>• Estimar  la  base  imponible  de  IVA:  si  el  precio  de  la  transferen</w:t>
      </w:r>
      <w:r>
        <w:rPr>
          <w:rFonts w:ascii="Arial" w:hAnsi="Arial" w:cs="Arial"/>
          <w:sz w:val="24"/>
          <w:szCs w:val="24"/>
          <w:lang w:val="es-SV"/>
        </w:rPr>
        <w:t xml:space="preserve">cia  o monto  de </w:t>
      </w:r>
      <w:r w:rsidRPr="003B7339">
        <w:rPr>
          <w:rFonts w:ascii="Arial" w:hAnsi="Arial" w:cs="Arial"/>
          <w:sz w:val="24"/>
          <w:szCs w:val="24"/>
          <w:lang w:val="es-SV"/>
        </w:rPr>
        <w:t>la  remuneración  no  fueren  fidedignos  o  resultaren</w:t>
      </w:r>
      <w:r>
        <w:rPr>
          <w:rFonts w:ascii="Arial" w:hAnsi="Arial" w:cs="Arial"/>
          <w:sz w:val="24"/>
          <w:szCs w:val="24"/>
          <w:lang w:val="es-SV"/>
        </w:rPr>
        <w:t xml:space="preserve">  inferiores  o  superiores  al </w:t>
      </w:r>
      <w:r w:rsidRPr="003B7339">
        <w:rPr>
          <w:rFonts w:ascii="Arial" w:hAnsi="Arial" w:cs="Arial"/>
          <w:sz w:val="24"/>
          <w:szCs w:val="24"/>
          <w:lang w:val="es-SV"/>
        </w:rPr>
        <w:t>corriente de mercado.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 xml:space="preserve">• Establecer  el  crédito  fiscal:  cuando  el </w:t>
      </w:r>
      <w:r>
        <w:rPr>
          <w:rFonts w:ascii="Arial" w:hAnsi="Arial" w:cs="Arial"/>
          <w:sz w:val="24"/>
          <w:szCs w:val="24"/>
          <w:lang w:val="es-SV"/>
        </w:rPr>
        <w:t xml:space="preserve"> precio  de  adquisición,  sea superior al </w:t>
      </w:r>
      <w:r w:rsidRPr="003B7339">
        <w:rPr>
          <w:rFonts w:ascii="Arial" w:hAnsi="Arial" w:cs="Arial"/>
          <w:sz w:val="24"/>
          <w:szCs w:val="24"/>
          <w:lang w:val="es-SV"/>
        </w:rPr>
        <w:t>corriente de mercado.</w:t>
      </w:r>
    </w:p>
    <w:p w:rsid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• Determinar  la  renta  y  deducciones  del  ISR</w:t>
      </w:r>
      <w:r>
        <w:rPr>
          <w:rFonts w:ascii="Arial" w:hAnsi="Arial" w:cs="Arial"/>
          <w:sz w:val="24"/>
          <w:szCs w:val="24"/>
          <w:lang w:val="es-SV"/>
        </w:rPr>
        <w:t xml:space="preserve">:  cuando  éstas  resulten  ser </w:t>
      </w:r>
      <w:r w:rsidRPr="003B7339">
        <w:rPr>
          <w:rFonts w:ascii="Arial" w:hAnsi="Arial" w:cs="Arial"/>
          <w:sz w:val="24"/>
          <w:szCs w:val="24"/>
          <w:lang w:val="es-SV"/>
        </w:rPr>
        <w:t>inferiores o superiores a los precios de mercado</w:t>
      </w:r>
      <w:r>
        <w:rPr>
          <w:rFonts w:ascii="Arial" w:hAnsi="Arial" w:cs="Arial"/>
          <w:sz w:val="24"/>
          <w:szCs w:val="24"/>
          <w:lang w:val="es-SV"/>
        </w:rPr>
        <w:t>.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3B7339">
        <w:rPr>
          <w:rFonts w:ascii="Arial" w:hAnsi="Arial" w:cs="Arial"/>
          <w:b/>
          <w:sz w:val="24"/>
          <w:szCs w:val="24"/>
          <w:lang w:val="es-SV"/>
        </w:rPr>
        <w:t>Sujetos  Relacionados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>
        <w:rPr>
          <w:rFonts w:ascii="Arial" w:hAnsi="Arial" w:cs="Arial"/>
          <w:sz w:val="24"/>
          <w:szCs w:val="24"/>
          <w:lang w:val="es-SV"/>
        </w:rPr>
        <w:t>Artículo  199-C  del C. T</w:t>
      </w:r>
      <w:r w:rsidRPr="003B7339">
        <w:rPr>
          <w:rFonts w:ascii="Arial" w:hAnsi="Arial" w:cs="Arial"/>
          <w:sz w:val="24"/>
          <w:szCs w:val="24"/>
          <w:lang w:val="es-SV"/>
        </w:rPr>
        <w:t>.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Para  efectos  de  lo  dispuesto  en  este  Código  y</w:t>
      </w:r>
      <w:r>
        <w:rPr>
          <w:rFonts w:ascii="Arial" w:hAnsi="Arial" w:cs="Arial"/>
          <w:sz w:val="24"/>
          <w:szCs w:val="24"/>
          <w:lang w:val="es-SV"/>
        </w:rPr>
        <w:t xml:space="preserve">  demás  leyes  tributarias  se </w:t>
      </w:r>
      <w:r w:rsidRPr="003B7339">
        <w:rPr>
          <w:rFonts w:ascii="Arial" w:hAnsi="Arial" w:cs="Arial"/>
          <w:sz w:val="24"/>
          <w:szCs w:val="24"/>
          <w:lang w:val="es-SV"/>
        </w:rPr>
        <w:t xml:space="preserve">entenderá  como sujetos  relacionados:   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a) Cuando  uno  de  ellos  dirija  o  controle  l</w:t>
      </w:r>
      <w:r>
        <w:rPr>
          <w:rFonts w:ascii="Arial" w:hAnsi="Arial" w:cs="Arial"/>
          <w:sz w:val="24"/>
          <w:szCs w:val="24"/>
          <w:lang w:val="es-SV"/>
        </w:rPr>
        <w:t xml:space="preserve">a  otra,  o  posea,  directa  o </w:t>
      </w:r>
      <w:r w:rsidRPr="003B7339">
        <w:rPr>
          <w:rFonts w:ascii="Arial" w:hAnsi="Arial" w:cs="Arial"/>
          <w:sz w:val="24"/>
          <w:szCs w:val="24"/>
          <w:lang w:val="es-SV"/>
        </w:rPr>
        <w:t>indirectamente, al menos el 25% de su capi</w:t>
      </w:r>
      <w:r>
        <w:rPr>
          <w:rFonts w:ascii="Arial" w:hAnsi="Arial" w:cs="Arial"/>
          <w:sz w:val="24"/>
          <w:szCs w:val="24"/>
          <w:lang w:val="es-SV"/>
        </w:rPr>
        <w:t xml:space="preserve">tal social o de sus derechos de </w:t>
      </w:r>
      <w:r w:rsidRPr="003B7339">
        <w:rPr>
          <w:rFonts w:ascii="Arial" w:hAnsi="Arial" w:cs="Arial"/>
          <w:sz w:val="24"/>
          <w:szCs w:val="24"/>
          <w:lang w:val="es-SV"/>
        </w:rPr>
        <w:t>voto.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b)  Cuando  cinco  o  menos  personas  dirijan  o  controlen</w:t>
      </w:r>
      <w:r>
        <w:rPr>
          <w:rFonts w:ascii="Arial" w:hAnsi="Arial" w:cs="Arial"/>
          <w:sz w:val="24"/>
          <w:szCs w:val="24"/>
          <w:lang w:val="es-SV"/>
        </w:rPr>
        <w:t xml:space="preserve">  ambas  personas,  o </w:t>
      </w:r>
      <w:r w:rsidRPr="003B7339">
        <w:rPr>
          <w:rFonts w:ascii="Arial" w:hAnsi="Arial" w:cs="Arial"/>
          <w:sz w:val="24"/>
          <w:szCs w:val="24"/>
          <w:lang w:val="es-SV"/>
        </w:rPr>
        <w:t>posean  en  su  conjunto,  directa  o  indirect</w:t>
      </w:r>
      <w:r>
        <w:rPr>
          <w:rFonts w:ascii="Arial" w:hAnsi="Arial" w:cs="Arial"/>
          <w:sz w:val="24"/>
          <w:szCs w:val="24"/>
          <w:lang w:val="es-SV"/>
        </w:rPr>
        <w:t xml:space="preserve">amente,  al  menos  el  25%  de </w:t>
      </w:r>
      <w:r w:rsidRPr="003B7339">
        <w:rPr>
          <w:rFonts w:ascii="Arial" w:hAnsi="Arial" w:cs="Arial"/>
          <w:sz w:val="24"/>
          <w:szCs w:val="24"/>
          <w:lang w:val="es-SV"/>
        </w:rPr>
        <w:t>participación  en  el  capital  social  o  los</w:t>
      </w:r>
      <w:r>
        <w:rPr>
          <w:rFonts w:ascii="Arial" w:hAnsi="Arial" w:cs="Arial"/>
          <w:sz w:val="24"/>
          <w:szCs w:val="24"/>
          <w:lang w:val="es-SV"/>
        </w:rPr>
        <w:t xml:space="preserve">  derechos  de  voto  de  ambas </w:t>
      </w:r>
      <w:r w:rsidRPr="003B7339">
        <w:rPr>
          <w:rFonts w:ascii="Arial" w:hAnsi="Arial" w:cs="Arial"/>
          <w:sz w:val="24"/>
          <w:szCs w:val="24"/>
          <w:lang w:val="es-SV"/>
        </w:rPr>
        <w:t>personas.</w:t>
      </w:r>
    </w:p>
    <w:p w:rsid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c) Cuando  sean  sociedades  que  pertene</w:t>
      </w:r>
      <w:r>
        <w:rPr>
          <w:rFonts w:ascii="Arial" w:hAnsi="Arial" w:cs="Arial"/>
          <w:sz w:val="24"/>
          <w:szCs w:val="24"/>
          <w:lang w:val="es-SV"/>
        </w:rPr>
        <w:t xml:space="preserve">zcan  a  una  misma  unidad  de </w:t>
      </w:r>
      <w:r w:rsidRPr="003B7339">
        <w:rPr>
          <w:rFonts w:ascii="Arial" w:hAnsi="Arial" w:cs="Arial"/>
          <w:sz w:val="24"/>
          <w:szCs w:val="24"/>
          <w:lang w:val="es-SV"/>
        </w:rPr>
        <w:t>decisión o grupo empresarial.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3B7339">
        <w:rPr>
          <w:rFonts w:ascii="Arial" w:hAnsi="Arial" w:cs="Arial"/>
          <w:b/>
          <w:sz w:val="24"/>
          <w:szCs w:val="24"/>
          <w:lang w:val="es-SV"/>
        </w:rPr>
        <w:t>Sujetos  domiciliados  en Países de baja o nula tr</w:t>
      </w:r>
      <w:r>
        <w:rPr>
          <w:rFonts w:ascii="Arial" w:hAnsi="Arial" w:cs="Arial"/>
          <w:b/>
          <w:sz w:val="24"/>
          <w:szCs w:val="24"/>
          <w:lang w:val="es-SV"/>
        </w:rPr>
        <w:t xml:space="preserve">ibutación  o Paraísos  Fiscales </w:t>
      </w:r>
      <w:r w:rsidRPr="003B7339">
        <w:rPr>
          <w:rFonts w:ascii="Arial" w:hAnsi="Arial" w:cs="Arial"/>
          <w:b/>
          <w:sz w:val="24"/>
          <w:szCs w:val="24"/>
          <w:lang w:val="es-SV"/>
        </w:rPr>
        <w:t>Artícul</w:t>
      </w:r>
      <w:r w:rsidRPr="003B7339">
        <w:rPr>
          <w:rFonts w:ascii="Arial" w:hAnsi="Arial" w:cs="Arial"/>
          <w:b/>
          <w:sz w:val="24"/>
          <w:szCs w:val="24"/>
          <w:lang w:val="es-SV"/>
        </w:rPr>
        <w:t>o 199-D, inciso último del C. T</w:t>
      </w:r>
      <w:r w:rsidRPr="003B7339">
        <w:rPr>
          <w:rFonts w:ascii="Arial" w:hAnsi="Arial" w:cs="Arial"/>
          <w:b/>
          <w:sz w:val="24"/>
          <w:szCs w:val="24"/>
          <w:lang w:val="es-SV"/>
        </w:rPr>
        <w:t>.</w:t>
      </w:r>
    </w:p>
    <w:p w:rsid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Las  operaciones  con  sujetos  domiciliados,  constit</w:t>
      </w:r>
      <w:r>
        <w:rPr>
          <w:rFonts w:ascii="Arial" w:hAnsi="Arial" w:cs="Arial"/>
          <w:sz w:val="24"/>
          <w:szCs w:val="24"/>
          <w:lang w:val="es-SV"/>
        </w:rPr>
        <w:t xml:space="preserve">uidos  o  ubicados  en  países, </w:t>
      </w:r>
      <w:r w:rsidRPr="003B7339">
        <w:rPr>
          <w:rFonts w:ascii="Arial" w:hAnsi="Arial" w:cs="Arial"/>
          <w:sz w:val="24"/>
          <w:szCs w:val="24"/>
          <w:lang w:val="es-SV"/>
        </w:rPr>
        <w:t xml:space="preserve">estados  o  territorios  con  regímenes  fiscales  </w:t>
      </w:r>
      <w:r>
        <w:rPr>
          <w:rFonts w:ascii="Arial" w:hAnsi="Arial" w:cs="Arial"/>
          <w:sz w:val="24"/>
          <w:szCs w:val="24"/>
          <w:lang w:val="es-SV"/>
        </w:rPr>
        <w:t xml:space="preserve">preferentes,  de  baja  o  nula </w:t>
      </w:r>
      <w:r w:rsidRPr="003B7339">
        <w:rPr>
          <w:rFonts w:ascii="Arial" w:hAnsi="Arial" w:cs="Arial"/>
          <w:sz w:val="24"/>
          <w:szCs w:val="24"/>
          <w:lang w:val="es-SV"/>
        </w:rPr>
        <w:t>tributación  o  paraísos  fiscales,  no  constitu</w:t>
      </w:r>
      <w:r>
        <w:rPr>
          <w:rFonts w:ascii="Arial" w:hAnsi="Arial" w:cs="Arial"/>
          <w:sz w:val="24"/>
          <w:szCs w:val="24"/>
          <w:lang w:val="es-SV"/>
        </w:rPr>
        <w:t xml:space="preserve">yen  operaciones  entre  partes </w:t>
      </w:r>
      <w:r w:rsidRPr="003B7339">
        <w:rPr>
          <w:rFonts w:ascii="Arial" w:hAnsi="Arial" w:cs="Arial"/>
          <w:sz w:val="24"/>
          <w:szCs w:val="24"/>
          <w:lang w:val="es-SV"/>
        </w:rPr>
        <w:t>independientes.</w:t>
      </w:r>
    </w:p>
    <w:p w:rsid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</w:p>
    <w:p w:rsid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</w:p>
    <w:p w:rsidR="003B7339" w:rsidRDefault="003B7339" w:rsidP="003B7339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3B7339">
        <w:rPr>
          <w:rFonts w:ascii="Arial" w:hAnsi="Arial" w:cs="Arial"/>
          <w:b/>
          <w:sz w:val="24"/>
          <w:szCs w:val="24"/>
          <w:lang w:val="es-SV"/>
        </w:rPr>
        <w:lastRenderedPageBreak/>
        <w:t>Artículo 62-A, inciso tercero y siguientes del C. T .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Para  efectos  de  este  Código  y  las  leyes  tributaria</w:t>
      </w:r>
      <w:r>
        <w:rPr>
          <w:rFonts w:ascii="Arial" w:hAnsi="Arial" w:cs="Arial"/>
          <w:sz w:val="24"/>
          <w:szCs w:val="24"/>
          <w:lang w:val="es-SV"/>
        </w:rPr>
        <w:t xml:space="preserve">s,  se  considerarán  regímenes </w:t>
      </w:r>
      <w:r w:rsidRPr="003B7339">
        <w:rPr>
          <w:rFonts w:ascii="Arial" w:hAnsi="Arial" w:cs="Arial"/>
          <w:sz w:val="24"/>
          <w:szCs w:val="24"/>
          <w:lang w:val="es-SV"/>
        </w:rPr>
        <w:t>fiscales  preferentes,  de  baja  o  nula  tributación  o  pa</w:t>
      </w:r>
      <w:r>
        <w:rPr>
          <w:rFonts w:ascii="Arial" w:hAnsi="Arial" w:cs="Arial"/>
          <w:sz w:val="24"/>
          <w:szCs w:val="24"/>
          <w:lang w:val="es-SV"/>
        </w:rPr>
        <w:t xml:space="preserve">raísos  fiscales,  los  que  se </w:t>
      </w:r>
      <w:r w:rsidRPr="003B7339">
        <w:rPr>
          <w:rFonts w:ascii="Arial" w:hAnsi="Arial" w:cs="Arial"/>
          <w:sz w:val="24"/>
          <w:szCs w:val="24"/>
          <w:lang w:val="es-SV"/>
        </w:rPr>
        <w:t>encuentren en alguna de las siguientes  situaciones: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I. Aquellos que no están gravados en el extranj</w:t>
      </w:r>
      <w:r>
        <w:rPr>
          <w:rFonts w:ascii="Arial" w:hAnsi="Arial" w:cs="Arial"/>
          <w:sz w:val="24"/>
          <w:szCs w:val="24"/>
          <w:lang w:val="es-SV"/>
        </w:rPr>
        <w:t xml:space="preserve">ero, o lo están con un Impuesto </w:t>
      </w:r>
      <w:r w:rsidRPr="003B7339">
        <w:rPr>
          <w:rFonts w:ascii="Arial" w:hAnsi="Arial" w:cs="Arial"/>
          <w:sz w:val="24"/>
          <w:szCs w:val="24"/>
          <w:lang w:val="es-SV"/>
        </w:rPr>
        <w:t>sobre  la  Renta  calculado  sobre  ingresos  o  renta  ne</w:t>
      </w:r>
      <w:r>
        <w:rPr>
          <w:rFonts w:ascii="Arial" w:hAnsi="Arial" w:cs="Arial"/>
          <w:sz w:val="24"/>
          <w:szCs w:val="24"/>
          <w:lang w:val="es-SV"/>
        </w:rPr>
        <w:t xml:space="preserve">ta  o  imponible,  inferior  al </w:t>
      </w:r>
      <w:r w:rsidRPr="003B7339">
        <w:rPr>
          <w:rFonts w:ascii="Arial" w:hAnsi="Arial" w:cs="Arial"/>
          <w:sz w:val="24"/>
          <w:szCs w:val="24"/>
          <w:lang w:val="es-SV"/>
        </w:rPr>
        <w:t xml:space="preserve">80% del Impuesto sobre la Renta que se causaría y pagaría en El Salvador; </w:t>
      </w:r>
    </w:p>
    <w:p w:rsid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 xml:space="preserve">II. Los  que  clasifique  la  Organización  para  la </w:t>
      </w:r>
      <w:r>
        <w:rPr>
          <w:rFonts w:ascii="Arial" w:hAnsi="Arial" w:cs="Arial"/>
          <w:sz w:val="24"/>
          <w:szCs w:val="24"/>
          <w:lang w:val="es-SV"/>
        </w:rPr>
        <w:t xml:space="preserve"> Cooperación  y  el  Desarrollo </w:t>
      </w:r>
      <w:r w:rsidRPr="003B7339">
        <w:rPr>
          <w:rFonts w:ascii="Arial" w:hAnsi="Arial" w:cs="Arial"/>
          <w:sz w:val="24"/>
          <w:szCs w:val="24"/>
          <w:lang w:val="es-SV"/>
        </w:rPr>
        <w:t>Económico (OCDE) y el Grupo de Acción Financiera Internacional  (GAFI).</w:t>
      </w:r>
    </w:p>
    <w:p w:rsidR="003B7339" w:rsidRPr="003B7339" w:rsidRDefault="003B7339" w:rsidP="003B7339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3B7339">
        <w:rPr>
          <w:rFonts w:ascii="Arial" w:hAnsi="Arial" w:cs="Arial"/>
          <w:b/>
          <w:sz w:val="24"/>
          <w:szCs w:val="24"/>
          <w:lang w:val="es-SV"/>
        </w:rPr>
        <w:t>Precio de Mercado Artículo 199-B del C. T</w:t>
      </w:r>
    </w:p>
    <w:p w:rsidR="003B7339" w:rsidRDefault="003B7339" w:rsidP="003B7339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3B7339">
        <w:rPr>
          <w:rFonts w:ascii="Arial" w:hAnsi="Arial" w:cs="Arial"/>
          <w:sz w:val="24"/>
          <w:szCs w:val="24"/>
          <w:lang w:val="es-SV"/>
        </w:rPr>
        <w:t>Para  efectos  de  lo  dispuesto  en  el  artículo  ant</w:t>
      </w:r>
      <w:r>
        <w:rPr>
          <w:rFonts w:ascii="Arial" w:hAnsi="Arial" w:cs="Arial"/>
          <w:sz w:val="24"/>
          <w:szCs w:val="24"/>
          <w:lang w:val="es-SV"/>
        </w:rPr>
        <w:t xml:space="preserve">erior  se  entenderá  por precio  de </w:t>
      </w:r>
      <w:r w:rsidRPr="003B7339">
        <w:rPr>
          <w:rFonts w:ascii="Arial" w:hAnsi="Arial" w:cs="Arial"/>
          <w:sz w:val="24"/>
          <w:szCs w:val="24"/>
          <w:lang w:val="es-SV"/>
        </w:rPr>
        <w:t>mercado  en  las  operaciones  locales,  el  precio  de  ven</w:t>
      </w:r>
      <w:r>
        <w:rPr>
          <w:rFonts w:ascii="Arial" w:hAnsi="Arial" w:cs="Arial"/>
          <w:sz w:val="24"/>
          <w:szCs w:val="24"/>
          <w:lang w:val="es-SV"/>
        </w:rPr>
        <w:t xml:space="preserve">ta  que  tengan  los  bienes  o </w:t>
      </w:r>
      <w:r w:rsidRPr="003B7339">
        <w:rPr>
          <w:rFonts w:ascii="Arial" w:hAnsi="Arial" w:cs="Arial"/>
          <w:sz w:val="24"/>
          <w:szCs w:val="24"/>
          <w:lang w:val="es-SV"/>
        </w:rPr>
        <w:t>servicios, en negocios o establecimientos ubicados</w:t>
      </w:r>
      <w:r>
        <w:rPr>
          <w:rFonts w:ascii="Arial" w:hAnsi="Arial" w:cs="Arial"/>
          <w:sz w:val="24"/>
          <w:szCs w:val="24"/>
          <w:lang w:val="es-SV"/>
        </w:rPr>
        <w:t xml:space="preserve"> en el país no relacionados con </w:t>
      </w:r>
      <w:r w:rsidRPr="003B7339">
        <w:rPr>
          <w:rFonts w:ascii="Arial" w:hAnsi="Arial" w:cs="Arial"/>
          <w:sz w:val="24"/>
          <w:szCs w:val="24"/>
          <w:lang w:val="es-SV"/>
        </w:rPr>
        <w:t>el fiscalizado,  que transfieran  bienes o presten  servicios de la misma especie.</w:t>
      </w:r>
    </w:p>
    <w:p w:rsidR="001C02E7" w:rsidRPr="001C02E7" w:rsidRDefault="001C02E7" w:rsidP="001C02E7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1C02E7">
        <w:rPr>
          <w:rFonts w:ascii="Arial" w:hAnsi="Arial" w:cs="Arial"/>
          <w:sz w:val="24"/>
          <w:szCs w:val="24"/>
          <w:lang w:val="es-SV"/>
        </w:rPr>
        <w:t>En  transferencias  de  bienes  o  prestaciones  d</w:t>
      </w:r>
      <w:r>
        <w:rPr>
          <w:rFonts w:ascii="Arial" w:hAnsi="Arial" w:cs="Arial"/>
          <w:sz w:val="24"/>
          <w:szCs w:val="24"/>
          <w:lang w:val="es-SV"/>
        </w:rPr>
        <w:t xml:space="preserve">e  servicios  al  exterior  el precio  de </w:t>
      </w:r>
      <w:r w:rsidRPr="001C02E7">
        <w:rPr>
          <w:rFonts w:ascii="Arial" w:hAnsi="Arial" w:cs="Arial"/>
          <w:sz w:val="24"/>
          <w:szCs w:val="24"/>
          <w:lang w:val="es-SV"/>
        </w:rPr>
        <w:t>mercado  lo  constituirá,  el  precio  al  que  otros  sujetos  di</w:t>
      </w:r>
      <w:r>
        <w:rPr>
          <w:rFonts w:ascii="Arial" w:hAnsi="Arial" w:cs="Arial"/>
          <w:sz w:val="24"/>
          <w:szCs w:val="24"/>
          <w:lang w:val="es-SV"/>
        </w:rPr>
        <w:t xml:space="preserve">stintos  al  fiscalizado  y  no </w:t>
      </w:r>
      <w:r w:rsidRPr="001C02E7">
        <w:rPr>
          <w:rFonts w:ascii="Arial" w:hAnsi="Arial" w:cs="Arial"/>
          <w:sz w:val="24"/>
          <w:szCs w:val="24"/>
          <w:lang w:val="es-SV"/>
        </w:rPr>
        <w:t>relacionados  con  éste  hayan  transferido  bienes  o  pre</w:t>
      </w:r>
      <w:r>
        <w:rPr>
          <w:rFonts w:ascii="Arial" w:hAnsi="Arial" w:cs="Arial"/>
          <w:sz w:val="24"/>
          <w:szCs w:val="24"/>
          <w:lang w:val="es-SV"/>
        </w:rPr>
        <w:t xml:space="preserve">stado  servicios  de  la  misma </w:t>
      </w:r>
      <w:r w:rsidRPr="001C02E7">
        <w:rPr>
          <w:rFonts w:ascii="Arial" w:hAnsi="Arial" w:cs="Arial"/>
          <w:sz w:val="24"/>
          <w:szCs w:val="24"/>
          <w:lang w:val="es-SV"/>
        </w:rPr>
        <w:t>especie, desde El Salvador  al mismo país de destino.</w:t>
      </w:r>
    </w:p>
    <w:p w:rsidR="001C02E7" w:rsidRDefault="001C02E7" w:rsidP="001C02E7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1C02E7">
        <w:rPr>
          <w:rFonts w:ascii="Arial" w:hAnsi="Arial" w:cs="Arial"/>
          <w:sz w:val="24"/>
          <w:szCs w:val="24"/>
          <w:lang w:val="es-SV"/>
        </w:rPr>
        <w:t>En  el  caso  de  las  importaciones  el  precio  de  mercado  lo</w:t>
      </w:r>
      <w:r>
        <w:rPr>
          <w:rFonts w:ascii="Arial" w:hAnsi="Arial" w:cs="Arial"/>
          <w:sz w:val="24"/>
          <w:szCs w:val="24"/>
          <w:lang w:val="es-SV"/>
        </w:rPr>
        <w:t xml:space="preserve">  constituirá,  el  precio  que </w:t>
      </w:r>
      <w:r w:rsidRPr="001C02E7">
        <w:rPr>
          <w:rFonts w:ascii="Arial" w:hAnsi="Arial" w:cs="Arial"/>
          <w:sz w:val="24"/>
          <w:szCs w:val="24"/>
          <w:lang w:val="es-SV"/>
        </w:rPr>
        <w:t>tengan los bienes o servicios de la misma especie</w:t>
      </w:r>
      <w:r>
        <w:rPr>
          <w:rFonts w:ascii="Arial" w:hAnsi="Arial" w:cs="Arial"/>
          <w:sz w:val="24"/>
          <w:szCs w:val="24"/>
          <w:lang w:val="es-SV"/>
        </w:rPr>
        <w:t xml:space="preserve"> en negocios o establecimientos </w:t>
      </w:r>
      <w:r w:rsidRPr="001C02E7">
        <w:rPr>
          <w:rFonts w:ascii="Arial" w:hAnsi="Arial" w:cs="Arial"/>
          <w:sz w:val="24"/>
          <w:szCs w:val="24"/>
          <w:lang w:val="es-SV"/>
        </w:rPr>
        <w:t>no  relacionados con  el sujeto  fiscalizado, en  el  país</w:t>
      </w:r>
      <w:r>
        <w:rPr>
          <w:rFonts w:ascii="Arial" w:hAnsi="Arial" w:cs="Arial"/>
          <w:sz w:val="24"/>
          <w:szCs w:val="24"/>
          <w:lang w:val="es-SV"/>
        </w:rPr>
        <w:t xml:space="preserve"> en  el que haya sido adquirido </w:t>
      </w:r>
      <w:r w:rsidRPr="001C02E7">
        <w:rPr>
          <w:rFonts w:ascii="Arial" w:hAnsi="Arial" w:cs="Arial"/>
          <w:sz w:val="24"/>
          <w:szCs w:val="24"/>
          <w:lang w:val="es-SV"/>
        </w:rPr>
        <w:t>el bien o el servicio,  más los costos o gastos de transporte, cuando proceda.</w:t>
      </w:r>
    </w:p>
    <w:p w:rsidR="001C02E7" w:rsidRPr="000352AD" w:rsidRDefault="001C02E7" w:rsidP="001C02E7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0352AD">
        <w:rPr>
          <w:rFonts w:ascii="Arial" w:hAnsi="Arial" w:cs="Arial"/>
          <w:b/>
          <w:sz w:val="24"/>
          <w:szCs w:val="24"/>
          <w:lang w:val="es-SV"/>
        </w:rPr>
        <w:t>Retención  a sujetos de impuesto no domiciliados</w:t>
      </w:r>
      <w:r w:rsidR="000352AD" w:rsidRPr="000352AD">
        <w:rPr>
          <w:rFonts w:ascii="Arial" w:hAnsi="Arial" w:cs="Arial"/>
          <w:b/>
          <w:sz w:val="24"/>
          <w:szCs w:val="24"/>
          <w:lang w:val="es-SV"/>
        </w:rPr>
        <w:t xml:space="preserve">: </w:t>
      </w:r>
      <w:r w:rsidRPr="000352AD">
        <w:rPr>
          <w:rFonts w:ascii="Arial" w:hAnsi="Arial" w:cs="Arial"/>
          <w:b/>
          <w:sz w:val="24"/>
          <w:szCs w:val="24"/>
          <w:lang w:val="es-SV"/>
        </w:rPr>
        <w:t xml:space="preserve">Artículo  </w:t>
      </w:r>
      <w:r w:rsidR="000352AD" w:rsidRPr="000352AD">
        <w:rPr>
          <w:rFonts w:ascii="Arial" w:hAnsi="Arial" w:cs="Arial"/>
          <w:b/>
          <w:sz w:val="24"/>
          <w:szCs w:val="24"/>
          <w:lang w:val="es-SV"/>
        </w:rPr>
        <w:t>158, inciso quinto y sexto C. T</w:t>
      </w:r>
      <w:r w:rsidRPr="000352AD">
        <w:rPr>
          <w:rFonts w:ascii="Arial" w:hAnsi="Arial" w:cs="Arial"/>
          <w:b/>
          <w:sz w:val="24"/>
          <w:szCs w:val="24"/>
          <w:lang w:val="es-SV"/>
        </w:rPr>
        <w:t>.</w:t>
      </w:r>
    </w:p>
    <w:p w:rsidR="001C02E7" w:rsidRDefault="001C02E7" w:rsidP="001C02E7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1C02E7">
        <w:rPr>
          <w:rFonts w:ascii="Arial" w:hAnsi="Arial" w:cs="Arial"/>
          <w:sz w:val="24"/>
          <w:szCs w:val="24"/>
          <w:lang w:val="es-SV"/>
        </w:rPr>
        <w:lastRenderedPageBreak/>
        <w:t>Las  filiales  o  sucursales  deberán  efectuar  la  ret</w:t>
      </w:r>
      <w:r w:rsidR="000352AD">
        <w:rPr>
          <w:rFonts w:ascii="Arial" w:hAnsi="Arial" w:cs="Arial"/>
          <w:sz w:val="24"/>
          <w:szCs w:val="24"/>
          <w:lang w:val="es-SV"/>
        </w:rPr>
        <w:t xml:space="preserve">ención  a  que  se  refiere  el </w:t>
      </w:r>
      <w:r w:rsidRPr="001C02E7">
        <w:rPr>
          <w:rFonts w:ascii="Arial" w:hAnsi="Arial" w:cs="Arial"/>
          <w:sz w:val="24"/>
          <w:szCs w:val="24"/>
          <w:lang w:val="es-SV"/>
        </w:rPr>
        <w:t>presente  artículo  con  carácter  de  pago  definitivo</w:t>
      </w:r>
      <w:r w:rsidR="000352AD">
        <w:rPr>
          <w:rFonts w:ascii="Arial" w:hAnsi="Arial" w:cs="Arial"/>
          <w:sz w:val="24"/>
          <w:szCs w:val="24"/>
          <w:lang w:val="es-SV"/>
        </w:rPr>
        <w:t xml:space="preserve">,  en  el  porcentaje  previsto </w:t>
      </w:r>
      <w:r w:rsidRPr="001C02E7">
        <w:rPr>
          <w:rFonts w:ascii="Arial" w:hAnsi="Arial" w:cs="Arial"/>
          <w:sz w:val="24"/>
          <w:szCs w:val="24"/>
          <w:lang w:val="es-SV"/>
        </w:rPr>
        <w:t xml:space="preserve">en  el  mismo,  por  los  pagos  que  realicen  a  sus </w:t>
      </w:r>
      <w:r w:rsidR="000352AD">
        <w:rPr>
          <w:rFonts w:ascii="Arial" w:hAnsi="Arial" w:cs="Arial"/>
          <w:sz w:val="24"/>
          <w:szCs w:val="24"/>
          <w:lang w:val="es-SV"/>
        </w:rPr>
        <w:t xml:space="preserve"> casas  matrices  en  cualquier </w:t>
      </w:r>
      <w:r w:rsidRPr="001C02E7">
        <w:rPr>
          <w:rFonts w:ascii="Arial" w:hAnsi="Arial" w:cs="Arial"/>
          <w:sz w:val="24"/>
          <w:szCs w:val="24"/>
          <w:lang w:val="es-SV"/>
        </w:rPr>
        <w:t>concepto,  salvo  que  correspondan  a  la  a</w:t>
      </w:r>
      <w:r w:rsidR="000352AD">
        <w:rPr>
          <w:rFonts w:ascii="Arial" w:hAnsi="Arial" w:cs="Arial"/>
          <w:sz w:val="24"/>
          <w:szCs w:val="24"/>
          <w:lang w:val="es-SV"/>
        </w:rPr>
        <w:t xml:space="preserve">dquisición  de  bienes  muebles </w:t>
      </w:r>
      <w:r w:rsidRPr="001C02E7">
        <w:rPr>
          <w:rFonts w:ascii="Arial" w:hAnsi="Arial" w:cs="Arial"/>
          <w:sz w:val="24"/>
          <w:szCs w:val="24"/>
          <w:lang w:val="es-SV"/>
        </w:rPr>
        <w:t>corporales  o  utilidades  que  ha  obtenido  la  fili</w:t>
      </w:r>
      <w:r w:rsidR="000352AD">
        <w:rPr>
          <w:rFonts w:ascii="Arial" w:hAnsi="Arial" w:cs="Arial"/>
          <w:sz w:val="24"/>
          <w:szCs w:val="24"/>
          <w:lang w:val="es-SV"/>
        </w:rPr>
        <w:t xml:space="preserve">al  o  sucursal  que  ya  hayan </w:t>
      </w:r>
      <w:r w:rsidRPr="001C02E7">
        <w:rPr>
          <w:rFonts w:ascii="Arial" w:hAnsi="Arial" w:cs="Arial"/>
          <w:sz w:val="24"/>
          <w:szCs w:val="24"/>
          <w:lang w:val="es-SV"/>
        </w:rPr>
        <w:t>pagado  el  Impuesto  correspondiente,  la  cual  d</w:t>
      </w:r>
      <w:r w:rsidR="000352AD">
        <w:rPr>
          <w:rFonts w:ascii="Arial" w:hAnsi="Arial" w:cs="Arial"/>
          <w:sz w:val="24"/>
          <w:szCs w:val="24"/>
          <w:lang w:val="es-SV"/>
        </w:rPr>
        <w:t xml:space="preserve">eberán  enterar  en  el  plazo, </w:t>
      </w:r>
      <w:r w:rsidRPr="001C02E7">
        <w:rPr>
          <w:rFonts w:ascii="Arial" w:hAnsi="Arial" w:cs="Arial"/>
          <w:sz w:val="24"/>
          <w:szCs w:val="24"/>
          <w:lang w:val="es-SV"/>
        </w:rPr>
        <w:t>forma y medios que las leyes tributarias estipulen.</w:t>
      </w:r>
    </w:p>
    <w:p w:rsidR="000352AD" w:rsidRPr="000352AD" w:rsidRDefault="000352AD" w:rsidP="000352AD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0352AD">
        <w:rPr>
          <w:rFonts w:ascii="Arial" w:hAnsi="Arial" w:cs="Arial"/>
          <w:b/>
          <w:sz w:val="24"/>
          <w:szCs w:val="24"/>
          <w:lang w:val="es-SV"/>
        </w:rPr>
        <w:t>Artículo 158-A del C. T .</w:t>
      </w:r>
    </w:p>
    <w:p w:rsidR="000352AD" w:rsidRDefault="000352AD" w:rsidP="000352AD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0352AD">
        <w:rPr>
          <w:rFonts w:ascii="Arial" w:hAnsi="Arial" w:cs="Arial"/>
          <w:sz w:val="24"/>
          <w:szCs w:val="24"/>
          <w:lang w:val="es-SV"/>
        </w:rPr>
        <w:t>Las personas naturales o jurídicas, sucesiones, fideicomis</w:t>
      </w:r>
      <w:r>
        <w:rPr>
          <w:rFonts w:ascii="Arial" w:hAnsi="Arial" w:cs="Arial"/>
          <w:sz w:val="24"/>
          <w:szCs w:val="24"/>
          <w:lang w:val="es-SV"/>
        </w:rPr>
        <w:t xml:space="preserve">os, sociedades irregulares o de </w:t>
      </w:r>
      <w:r w:rsidRPr="000352AD">
        <w:rPr>
          <w:rFonts w:ascii="Arial" w:hAnsi="Arial" w:cs="Arial"/>
          <w:sz w:val="24"/>
          <w:szCs w:val="24"/>
          <w:lang w:val="es-SV"/>
        </w:rPr>
        <w:t>hecho  o  unión  de  personas,  domiciliados  en  el  país,  deberán</w:t>
      </w:r>
      <w:r>
        <w:rPr>
          <w:rFonts w:ascii="Arial" w:hAnsi="Arial" w:cs="Arial"/>
          <w:sz w:val="24"/>
          <w:szCs w:val="24"/>
          <w:lang w:val="es-SV"/>
        </w:rPr>
        <w:t xml:space="preserve">  retener  el  veinticinco  por </w:t>
      </w:r>
      <w:r w:rsidRPr="000352AD">
        <w:rPr>
          <w:rFonts w:ascii="Arial" w:hAnsi="Arial" w:cs="Arial"/>
          <w:sz w:val="24"/>
          <w:szCs w:val="24"/>
          <w:lang w:val="es-SV"/>
        </w:rPr>
        <w:t>ciento  (25%)  como  pago  definitivo,  cuando  paguen  o</w:t>
      </w:r>
      <w:r>
        <w:rPr>
          <w:rFonts w:ascii="Arial" w:hAnsi="Arial" w:cs="Arial"/>
          <w:sz w:val="24"/>
          <w:szCs w:val="24"/>
          <w:lang w:val="es-SV"/>
        </w:rPr>
        <w:t xml:space="preserve">  acrediten  sumas  a  personas </w:t>
      </w:r>
      <w:r w:rsidRPr="000352AD">
        <w:rPr>
          <w:rFonts w:ascii="Arial" w:hAnsi="Arial" w:cs="Arial"/>
          <w:sz w:val="24"/>
          <w:szCs w:val="24"/>
          <w:lang w:val="es-SV"/>
        </w:rPr>
        <w:t xml:space="preserve">naturales  o  jurídicas,  entidad  o  agrupamiento  de  personas  o  cualquier </w:t>
      </w:r>
      <w:r>
        <w:rPr>
          <w:rFonts w:ascii="Arial" w:hAnsi="Arial" w:cs="Arial"/>
          <w:sz w:val="24"/>
          <w:szCs w:val="24"/>
          <w:lang w:val="es-SV"/>
        </w:rPr>
        <w:t xml:space="preserve"> sujeto,  que  se </w:t>
      </w:r>
      <w:r w:rsidRPr="000352AD">
        <w:rPr>
          <w:rFonts w:ascii="Arial" w:hAnsi="Arial" w:cs="Arial"/>
          <w:sz w:val="24"/>
          <w:szCs w:val="24"/>
          <w:lang w:val="es-SV"/>
        </w:rPr>
        <w:t>hayan  constituido,  se  encuentren  domiciliados  o  residan  en  p</w:t>
      </w:r>
      <w:r>
        <w:rPr>
          <w:rFonts w:ascii="Arial" w:hAnsi="Arial" w:cs="Arial"/>
          <w:sz w:val="24"/>
          <w:szCs w:val="24"/>
          <w:lang w:val="es-SV"/>
        </w:rPr>
        <w:t xml:space="preserve">aíses,  estados  o  territorios </w:t>
      </w:r>
      <w:r w:rsidRPr="000352AD">
        <w:rPr>
          <w:rFonts w:ascii="Arial" w:hAnsi="Arial" w:cs="Arial"/>
          <w:sz w:val="24"/>
          <w:szCs w:val="24"/>
          <w:lang w:val="es-SV"/>
        </w:rPr>
        <w:t>con  regímenes  fiscales  preferentes,  de  baja  o  nula  tributac</w:t>
      </w:r>
      <w:r>
        <w:rPr>
          <w:rFonts w:ascii="Arial" w:hAnsi="Arial" w:cs="Arial"/>
          <w:sz w:val="24"/>
          <w:szCs w:val="24"/>
          <w:lang w:val="es-SV"/>
        </w:rPr>
        <w:t xml:space="preserve">ión  o  paraísos  fiscales,  de </w:t>
      </w:r>
      <w:r w:rsidRPr="000352AD">
        <w:rPr>
          <w:rFonts w:ascii="Arial" w:hAnsi="Arial" w:cs="Arial"/>
          <w:sz w:val="24"/>
          <w:szCs w:val="24"/>
          <w:lang w:val="es-SV"/>
        </w:rPr>
        <w:t>acuerdo  a  este  Código,  o  que  se  paguen  o  acrediten  a  trav</w:t>
      </w:r>
      <w:r>
        <w:rPr>
          <w:rFonts w:ascii="Arial" w:hAnsi="Arial" w:cs="Arial"/>
          <w:sz w:val="24"/>
          <w:szCs w:val="24"/>
          <w:lang w:val="es-SV"/>
        </w:rPr>
        <w:t xml:space="preserve">és  de  personas,  entidades  o </w:t>
      </w:r>
      <w:r w:rsidRPr="000352AD">
        <w:rPr>
          <w:rFonts w:ascii="Arial" w:hAnsi="Arial" w:cs="Arial"/>
          <w:sz w:val="24"/>
          <w:szCs w:val="24"/>
          <w:lang w:val="es-SV"/>
        </w:rPr>
        <w:t xml:space="preserve">sujetos  constituidos,  domiciliados  o  residentes  en  los </w:t>
      </w:r>
      <w:r>
        <w:rPr>
          <w:rFonts w:ascii="Arial" w:hAnsi="Arial" w:cs="Arial"/>
          <w:sz w:val="24"/>
          <w:szCs w:val="24"/>
          <w:lang w:val="es-SV"/>
        </w:rPr>
        <w:t xml:space="preserve"> referidos  países,  estados  o </w:t>
      </w:r>
      <w:r w:rsidRPr="000352AD">
        <w:rPr>
          <w:rFonts w:ascii="Arial" w:hAnsi="Arial" w:cs="Arial"/>
          <w:sz w:val="24"/>
          <w:szCs w:val="24"/>
          <w:lang w:val="es-SV"/>
        </w:rPr>
        <w:t>territorios y cuyo pago tenga incidencia tributaria en la República de El Salvador .</w:t>
      </w:r>
    </w:p>
    <w:p w:rsidR="000352AD" w:rsidRPr="000352AD" w:rsidRDefault="000352AD" w:rsidP="000352AD">
      <w:pPr>
        <w:spacing w:line="360" w:lineRule="auto"/>
        <w:rPr>
          <w:rFonts w:ascii="Arial" w:hAnsi="Arial" w:cs="Arial"/>
          <w:b/>
          <w:sz w:val="24"/>
          <w:szCs w:val="24"/>
          <w:lang w:val="es-SV"/>
        </w:rPr>
      </w:pPr>
      <w:r w:rsidRPr="000352AD">
        <w:rPr>
          <w:rFonts w:ascii="Arial" w:hAnsi="Arial" w:cs="Arial"/>
          <w:b/>
          <w:sz w:val="24"/>
          <w:szCs w:val="24"/>
          <w:lang w:val="es-SV"/>
        </w:rPr>
        <w:t>Artículo 29-A de l</w:t>
      </w:r>
      <w:r>
        <w:rPr>
          <w:rFonts w:ascii="Arial" w:hAnsi="Arial" w:cs="Arial"/>
          <w:b/>
          <w:sz w:val="24"/>
          <w:szCs w:val="24"/>
          <w:lang w:val="es-SV"/>
        </w:rPr>
        <w:t xml:space="preserve">a LISR. </w:t>
      </w:r>
      <w:r w:rsidRPr="000352AD">
        <w:rPr>
          <w:rFonts w:ascii="Arial" w:hAnsi="Arial" w:cs="Arial"/>
          <w:b/>
          <w:sz w:val="24"/>
          <w:szCs w:val="24"/>
          <w:lang w:val="es-SV"/>
        </w:rPr>
        <w:t>No se admitirán como erogaciones  d</w:t>
      </w:r>
      <w:r>
        <w:rPr>
          <w:rFonts w:ascii="Arial" w:hAnsi="Arial" w:cs="Arial"/>
          <w:b/>
          <w:sz w:val="24"/>
          <w:szCs w:val="24"/>
          <w:lang w:val="es-SV"/>
        </w:rPr>
        <w:t xml:space="preserve">educibles de la renta obtenida: </w:t>
      </w:r>
      <w:r w:rsidRPr="000352AD">
        <w:rPr>
          <w:rFonts w:ascii="Arial" w:hAnsi="Arial" w:cs="Arial"/>
          <w:b/>
          <w:sz w:val="24"/>
          <w:szCs w:val="24"/>
          <w:lang w:val="es-SV"/>
        </w:rPr>
        <w:t>Numeral 6) inciso segundo</w:t>
      </w:r>
    </w:p>
    <w:p w:rsidR="000352AD" w:rsidRPr="003B7339" w:rsidRDefault="000352AD" w:rsidP="000352AD">
      <w:pPr>
        <w:spacing w:line="360" w:lineRule="auto"/>
        <w:rPr>
          <w:rFonts w:ascii="Arial" w:hAnsi="Arial" w:cs="Arial"/>
          <w:sz w:val="24"/>
          <w:szCs w:val="24"/>
          <w:lang w:val="es-SV"/>
        </w:rPr>
      </w:pPr>
      <w:r w:rsidRPr="000352AD">
        <w:rPr>
          <w:rFonts w:ascii="Arial" w:hAnsi="Arial" w:cs="Arial"/>
          <w:sz w:val="24"/>
          <w:szCs w:val="24"/>
          <w:lang w:val="es-SV"/>
        </w:rPr>
        <w:t>En  ningún  caso  serán  deducibles  las  pérdi</w:t>
      </w:r>
      <w:r>
        <w:rPr>
          <w:rFonts w:ascii="Arial" w:hAnsi="Arial" w:cs="Arial"/>
          <w:sz w:val="24"/>
          <w:szCs w:val="24"/>
          <w:lang w:val="es-SV"/>
        </w:rPr>
        <w:t xml:space="preserve">das  provenientes  de  actos  u </w:t>
      </w:r>
      <w:r w:rsidRPr="000352AD">
        <w:rPr>
          <w:rFonts w:ascii="Arial" w:hAnsi="Arial" w:cs="Arial"/>
          <w:sz w:val="24"/>
          <w:szCs w:val="24"/>
          <w:lang w:val="es-SV"/>
        </w:rPr>
        <w:t xml:space="preserve">operaciones  efectuadas  entre  sujetos  relacionados,  o  con  personas  o </w:t>
      </w:r>
      <w:r>
        <w:rPr>
          <w:rFonts w:ascii="Arial" w:hAnsi="Arial" w:cs="Arial"/>
          <w:sz w:val="24"/>
          <w:szCs w:val="24"/>
          <w:lang w:val="es-SV"/>
        </w:rPr>
        <w:t xml:space="preserve"> entidades </w:t>
      </w:r>
      <w:r w:rsidRPr="000352AD">
        <w:rPr>
          <w:rFonts w:ascii="Arial" w:hAnsi="Arial" w:cs="Arial"/>
          <w:sz w:val="24"/>
          <w:szCs w:val="24"/>
          <w:lang w:val="es-SV"/>
        </w:rPr>
        <w:t>residentes  o  domiciliadas  en  países,  estados  o  territ</w:t>
      </w:r>
      <w:r>
        <w:rPr>
          <w:rFonts w:ascii="Arial" w:hAnsi="Arial" w:cs="Arial"/>
          <w:sz w:val="24"/>
          <w:szCs w:val="24"/>
          <w:lang w:val="es-SV"/>
        </w:rPr>
        <w:t xml:space="preserve">orios  con  regímenes  fiscales </w:t>
      </w:r>
      <w:bookmarkStart w:id="0" w:name="_GoBack"/>
      <w:bookmarkEnd w:id="0"/>
      <w:r w:rsidRPr="000352AD">
        <w:rPr>
          <w:rFonts w:ascii="Arial" w:hAnsi="Arial" w:cs="Arial"/>
          <w:sz w:val="24"/>
          <w:szCs w:val="24"/>
          <w:lang w:val="es-SV"/>
        </w:rPr>
        <w:t>preferentes,  de baja o nula tributación o paraísos fiscales</w:t>
      </w:r>
    </w:p>
    <w:sectPr w:rsidR="000352AD" w:rsidRPr="003B73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8495F"/>
    <w:multiLevelType w:val="hybridMultilevel"/>
    <w:tmpl w:val="CB0AC85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6B8"/>
    <w:rsid w:val="000352AD"/>
    <w:rsid w:val="00045221"/>
    <w:rsid w:val="001846B8"/>
    <w:rsid w:val="001C02E7"/>
    <w:rsid w:val="003B7339"/>
    <w:rsid w:val="00B77159"/>
    <w:rsid w:val="00CB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46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84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1049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 Guevara</dc:creator>
  <cp:keywords/>
  <dc:description/>
  <cp:lastModifiedBy>Stanley Guevara</cp:lastModifiedBy>
  <cp:revision>3</cp:revision>
  <dcterms:created xsi:type="dcterms:W3CDTF">2013-10-28T01:36:00Z</dcterms:created>
  <dcterms:modified xsi:type="dcterms:W3CDTF">2013-10-28T02:06:00Z</dcterms:modified>
</cp:coreProperties>
</file>