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8B" w:rsidRPr="00CC1387" w:rsidRDefault="00CC1387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85E01" wp14:editId="40CB19FD">
                <wp:simplePos x="0" y="0"/>
                <wp:positionH relativeFrom="column">
                  <wp:posOffset>1463560</wp:posOffset>
                </wp:positionH>
                <wp:positionV relativeFrom="paragraph">
                  <wp:posOffset>-135024</wp:posOffset>
                </wp:positionV>
                <wp:extent cx="2410286" cy="315884"/>
                <wp:effectExtent l="57150" t="38100" r="85725" b="103505"/>
                <wp:wrapNone/>
                <wp:docPr id="1" name="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0286" cy="315884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1387" w:rsidRDefault="00CC1387" w:rsidP="00CC1387">
                            <w:pPr>
                              <w:jc w:val="center"/>
                            </w:pPr>
                            <w:r>
                              <w:t>PRECIOS DE TRANSFERENCIA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 Cuadro de texto" o:spid="_x0000_s1026" type="#_x0000_t202" style="position:absolute;left:0;text-align:left;margin-left:115.25pt;margin-top:-10.65pt;width:189.8pt;height: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CC1387" w:rsidRDefault="00CC1387" w:rsidP="00CC1387">
                      <w:pPr>
                        <w:jc w:val="center"/>
                      </w:pPr>
                      <w:r>
                        <w:t>PRECIOS DE TRANSFERENCIA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p w:rsidR="001846B8" w:rsidRPr="00CC1387" w:rsidRDefault="001846B8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</w:p>
    <w:p w:rsidR="001846B8" w:rsidRPr="00CC1387" w:rsidRDefault="001846B8" w:rsidP="00CC1387">
      <w:p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“El  precio  pactado  en  la  transferencia  de  bienes  tangibles  o intangibles,  prestación  de  servicios,  o  cualquier  otra  operación realizada entre entidades o sujetos relacionados” .</w:t>
      </w:r>
    </w:p>
    <w:p w:rsidR="00CC1387" w:rsidRDefault="00CC1387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</w:p>
    <w:p w:rsidR="00CC1387" w:rsidRDefault="00CC1387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>
        <w:rPr>
          <w:rFonts w:ascii="Arial Narrow" w:hAnsi="Arial Narrow" w:cs="Arial"/>
          <w:b/>
          <w:sz w:val="24"/>
          <w:szCs w:val="24"/>
          <w:lang w:val="es-SV"/>
        </w:rPr>
        <w:t>BASE LEGAL</w:t>
      </w:r>
    </w:p>
    <w:p w:rsidR="00CC1387" w:rsidRDefault="00CC1387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</w:p>
    <w:p w:rsidR="003B7339" w:rsidRPr="00CC1387" w:rsidRDefault="003B7339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Determinación de Precios</w:t>
      </w:r>
    </w:p>
    <w:p w:rsidR="003B7339" w:rsidRPr="00CC1387" w:rsidRDefault="003B7339" w:rsidP="00CC138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Artículo 62-A del C. T.</w:t>
      </w:r>
    </w:p>
    <w:p w:rsidR="001846B8" w:rsidRPr="00CC1387" w:rsidRDefault="003B7339" w:rsidP="00CC1387">
      <w:p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Para  efectos  tributarios,  los  contribuyentes  que  celebren  operaciones o  transacciones  con  sujetos  relacionados,  estarán  obligados  a determinar  los  precios  y  montos  de  las  contraprestaciones, considerando  para  esas  operaciones  los  precios  de  mercado utilizados  en  transferencias  de  bienes  o  prestación  de  servicios  de  la misma  especie,  entre  sujetos  independientes.</w:t>
      </w:r>
    </w:p>
    <w:p w:rsidR="003B7339" w:rsidRPr="00CC1387" w:rsidRDefault="003B7339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Estimación de la Base Imponible</w:t>
      </w:r>
    </w:p>
    <w:p w:rsidR="003B7339" w:rsidRPr="00CC1387" w:rsidRDefault="003B7339" w:rsidP="00CC1387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 xml:space="preserve">Artículo 199-A del C. T. </w:t>
      </w:r>
    </w:p>
    <w:p w:rsidR="003B7339" w:rsidRPr="00CC1387" w:rsidRDefault="003B7339" w:rsidP="00CC1387">
      <w:p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Se faculta a la Administración  Tributaria para:</w:t>
      </w:r>
    </w:p>
    <w:p w:rsidR="00CC1387" w:rsidRDefault="003B7339" w:rsidP="00CC138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 xml:space="preserve">Estimar  la  base  imponible  de  IVA:  si  el  precio  de  la  transferencia  o monto  de la  remuneración  no  fueren  fidedignos  o  resultaren  inferiores  o  superiores  al </w:t>
      </w:r>
      <w:r w:rsidR="00CC1387">
        <w:rPr>
          <w:rFonts w:ascii="Arial Narrow" w:hAnsi="Arial Narrow" w:cs="Arial"/>
          <w:sz w:val="24"/>
          <w:szCs w:val="24"/>
          <w:lang w:val="es-SV"/>
        </w:rPr>
        <w:t>corriente de mercado.</w:t>
      </w:r>
    </w:p>
    <w:p w:rsidR="00CC1387" w:rsidRDefault="003B7339" w:rsidP="00CC138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Establ</w:t>
      </w:r>
      <w:r w:rsidR="00CC1387">
        <w:rPr>
          <w:rFonts w:ascii="Arial Narrow" w:hAnsi="Arial Narrow" w:cs="Arial"/>
          <w:sz w:val="24"/>
          <w:szCs w:val="24"/>
          <w:lang w:val="es-SV"/>
        </w:rPr>
        <w:t xml:space="preserve">ecer  el  crédito  fiscal: </w:t>
      </w:r>
      <w:r w:rsidRPr="00CC1387">
        <w:rPr>
          <w:rFonts w:ascii="Arial Narrow" w:hAnsi="Arial Narrow" w:cs="Arial"/>
          <w:sz w:val="24"/>
          <w:szCs w:val="24"/>
          <w:lang w:val="es-SV"/>
        </w:rPr>
        <w:t>cuando  el  precio  de  adquisición,  sea superior al corriente de mercado.</w:t>
      </w:r>
    </w:p>
    <w:p w:rsidR="003B7339" w:rsidRPr="00CC1387" w:rsidRDefault="003B7339" w:rsidP="00CC1387">
      <w:pPr>
        <w:pStyle w:val="Prrafodelista"/>
        <w:numPr>
          <w:ilvl w:val="0"/>
          <w:numId w:val="3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Determinar  la  renta  y  deducciones  del  ISR:  cuando  éstas  resulten  ser inferiores o superiores a los precios de mercado.</w:t>
      </w:r>
    </w:p>
    <w:p w:rsidR="003B7339" w:rsidRPr="00CC1387" w:rsidRDefault="003B7339" w:rsidP="00CC1387">
      <w:p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Sujetos  Relacionados</w:t>
      </w:r>
    </w:p>
    <w:p w:rsidR="00CC1387" w:rsidRDefault="00CC1387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>
        <w:rPr>
          <w:rFonts w:ascii="Arial Narrow" w:hAnsi="Arial Narrow" w:cs="Arial"/>
          <w:sz w:val="24"/>
          <w:szCs w:val="24"/>
          <w:lang w:val="es-SV"/>
        </w:rPr>
        <w:t>Artículo  199-C  del C. T.</w:t>
      </w:r>
    </w:p>
    <w:p w:rsidR="00CC1387" w:rsidRDefault="003B7339" w:rsidP="00CC1387">
      <w:pPr>
        <w:pStyle w:val="Prrafodelista"/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lastRenderedPageBreak/>
        <w:t xml:space="preserve">Para  efectos  de  lo  dispuesto  en  este  Código  y  demás  leyes  tributarias  se entenderá  como sujetos  relacionados:   </w:t>
      </w:r>
    </w:p>
    <w:p w:rsidR="00CC1387" w:rsidRDefault="003B7339" w:rsidP="00CC138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Cuando  uno  de  ellos  dirija  o  controle  la  otra,  o  posea,  directa  o indirectamente, al menos el 25% de su capital social o de sus derechos de voto.</w:t>
      </w:r>
    </w:p>
    <w:p w:rsidR="00CC1387" w:rsidRDefault="003B7339" w:rsidP="00CC138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Cuando  cinco  o  menos  personas  dirijan  o  controlen  ambas  personas,  o posean  en  su  conjunto,  directa  o  indirectamente,  al  menos  el  25%  de participación  en  el  capital  social  o  los  derechos  de  voto  de  ambas personas.</w:t>
      </w:r>
    </w:p>
    <w:p w:rsidR="003B7339" w:rsidRDefault="003B7339" w:rsidP="00CC1387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Cuando  sean  sociedades  que  pertenezcan  a  una  misma  unidad  de decisión o grupo empresarial.</w:t>
      </w:r>
    </w:p>
    <w:p w:rsidR="00CC1387" w:rsidRPr="00CC1387" w:rsidRDefault="00CC1387" w:rsidP="00CC1387">
      <w:pPr>
        <w:pStyle w:val="Prrafodelista"/>
        <w:spacing w:line="360" w:lineRule="auto"/>
        <w:ind w:left="1068"/>
        <w:jc w:val="both"/>
        <w:rPr>
          <w:rFonts w:ascii="Arial Narrow" w:hAnsi="Arial Narrow" w:cs="Arial"/>
          <w:sz w:val="24"/>
          <w:szCs w:val="24"/>
          <w:lang w:val="es-SV"/>
        </w:rPr>
      </w:pPr>
    </w:p>
    <w:p w:rsidR="003B7339" w:rsidRPr="00CC1387" w:rsidRDefault="003B7339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Sujetos  domiciliados  en Países de baja o nula tributación  o Paraísos  Fiscales Artículo 199-D, inciso último del C. T.</w:t>
      </w:r>
    </w:p>
    <w:p w:rsidR="003B7339" w:rsidRPr="00CC1387" w:rsidRDefault="003B7339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Las  operaciones  con  sujetos  domiciliados,  constituidos  o  ubicados  en  países, estados  o  territorios  con  regímenes  fiscales  preferentes,  de  baja  o  nula tributación  o  paraísos  fiscales,  no  constituyen  operaciones  entre  partes independientes.</w:t>
      </w:r>
    </w:p>
    <w:p w:rsidR="003B7339" w:rsidRPr="00CC1387" w:rsidRDefault="003B7339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 xml:space="preserve">Artículo 62-A, inciso tercero y siguientes del C. </w:t>
      </w:r>
      <w:proofErr w:type="gramStart"/>
      <w:r w:rsidRPr="00CC1387">
        <w:rPr>
          <w:rFonts w:ascii="Arial Narrow" w:hAnsi="Arial Narrow" w:cs="Arial"/>
          <w:b/>
          <w:sz w:val="24"/>
          <w:szCs w:val="24"/>
          <w:lang w:val="es-SV"/>
        </w:rPr>
        <w:t>T .</w:t>
      </w:r>
      <w:proofErr w:type="gramEnd"/>
    </w:p>
    <w:p w:rsidR="003B7339" w:rsidRPr="00CC1387" w:rsidRDefault="003B7339" w:rsidP="00CC1387">
      <w:pPr>
        <w:spacing w:line="360" w:lineRule="auto"/>
        <w:ind w:left="708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Para  efectos  de  este  Código  y  las  leyes  tributarias,  se  considerarán  regímenes fiscales  preferentes,  de  baja  o  nula  tributación  o  paraísos  fiscales,  los  que  se encuentren en alguna de las siguientes  situaciones:</w:t>
      </w:r>
    </w:p>
    <w:p w:rsidR="00CC1387" w:rsidRDefault="003B7339" w:rsidP="00CC138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 xml:space="preserve">Aquellos que no están gravados en el extranjero, o lo están con un Impuesto sobre  la  Renta  calculado  sobre  ingresos  o  renta  neta  o  imponible,  inferior  al 80% del Impuesto sobre la Renta que se causaría y pagaría en El Salvador; </w:t>
      </w:r>
    </w:p>
    <w:p w:rsidR="003B7339" w:rsidRPr="00CC1387" w:rsidRDefault="003B7339" w:rsidP="00CC1387">
      <w:pPr>
        <w:pStyle w:val="Prrafodelista"/>
        <w:numPr>
          <w:ilvl w:val="0"/>
          <w:numId w:val="6"/>
        </w:numPr>
        <w:spacing w:line="360" w:lineRule="auto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Los  que  clasifique  la  Organización  para  la  Cooperación  y  el  Desarrollo Económico (OCDE) y el Grupo de Acción Financiera Internacional  (GAFI).</w:t>
      </w:r>
    </w:p>
    <w:p w:rsidR="003B7339" w:rsidRPr="00CC1387" w:rsidRDefault="003B7339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Precio de Mercado Artículo 199-B del C. T</w:t>
      </w:r>
    </w:p>
    <w:p w:rsidR="003B7339" w:rsidRPr="00CC1387" w:rsidRDefault="003B7339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Para  efectos  de  lo  dispuesto  en  el  artículo  anterior  se  entenderá  por precio  de mercado  en  las  operaciones  locales,  el  precio  de  venta  que  tengan  los  bienes  o servicios, en negocios o establecimientos ubicados en el país no relacionados con el fiscalizado,  que transfieran  bienes o presten  servicios de la misma especie.</w:t>
      </w:r>
    </w:p>
    <w:p w:rsidR="001C02E7" w:rsidRPr="00CC1387" w:rsidRDefault="001C02E7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lastRenderedPageBreak/>
        <w:t>En  transferencias  de  bienes  o  prestaciones  de  servicios  al  exterior  el precio  de mercado  lo  constituirá,  el  precio  al  que  otros  sujetos  distintos  al  fiscalizado  y  no relacionados  con  éste  hayan  transferido  bienes  o  prestado  servicios  de  la  misma especie, desde El Salvador  al mismo país de destino.</w:t>
      </w:r>
    </w:p>
    <w:p w:rsidR="001C02E7" w:rsidRPr="00CC1387" w:rsidRDefault="001C02E7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En  el  caso  de  las  importaciones  el  precio  de  mercado  lo  constituirá,  el  precio  que tengan los bienes o servicios de la misma especie en negocios o establecimientos no  relacionados con  el sujeto  fiscalizado, en  el  país en  el que haya sido adquirido el bien o el servicio,  más los costos o gastos de transporte, cuando proceda.</w:t>
      </w:r>
    </w:p>
    <w:p w:rsidR="001C02E7" w:rsidRPr="00CC1387" w:rsidRDefault="001C02E7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Retención  a sujetos de impuesto no domiciliados</w:t>
      </w:r>
      <w:r w:rsidR="000352AD" w:rsidRPr="00CC1387">
        <w:rPr>
          <w:rFonts w:ascii="Arial Narrow" w:hAnsi="Arial Narrow" w:cs="Arial"/>
          <w:b/>
          <w:sz w:val="24"/>
          <w:szCs w:val="24"/>
          <w:lang w:val="es-SV"/>
        </w:rPr>
        <w:t xml:space="preserve">: </w:t>
      </w:r>
      <w:r w:rsidRPr="00CC1387">
        <w:rPr>
          <w:rFonts w:ascii="Arial Narrow" w:hAnsi="Arial Narrow" w:cs="Arial"/>
          <w:b/>
          <w:sz w:val="24"/>
          <w:szCs w:val="24"/>
          <w:lang w:val="es-SV"/>
        </w:rPr>
        <w:t xml:space="preserve">Artículo  </w:t>
      </w:r>
      <w:r w:rsidR="000352AD" w:rsidRPr="00CC1387">
        <w:rPr>
          <w:rFonts w:ascii="Arial Narrow" w:hAnsi="Arial Narrow" w:cs="Arial"/>
          <w:b/>
          <w:sz w:val="24"/>
          <w:szCs w:val="24"/>
          <w:lang w:val="es-SV"/>
        </w:rPr>
        <w:t>158, inciso quinto y sexto C. T</w:t>
      </w:r>
      <w:r w:rsidRPr="00CC1387">
        <w:rPr>
          <w:rFonts w:ascii="Arial Narrow" w:hAnsi="Arial Narrow" w:cs="Arial"/>
          <w:b/>
          <w:sz w:val="24"/>
          <w:szCs w:val="24"/>
          <w:lang w:val="es-SV"/>
        </w:rPr>
        <w:t>.</w:t>
      </w:r>
    </w:p>
    <w:p w:rsidR="001C02E7" w:rsidRPr="00CC1387" w:rsidRDefault="001C02E7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Las  filiales  o  sucursales  deberán  efectuar  la  ret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ención  a  que  se  refiere  el </w:t>
      </w:r>
      <w:r w:rsidRPr="00CC1387">
        <w:rPr>
          <w:rFonts w:ascii="Arial Narrow" w:hAnsi="Arial Narrow" w:cs="Arial"/>
          <w:sz w:val="24"/>
          <w:szCs w:val="24"/>
          <w:lang w:val="es-SV"/>
        </w:rPr>
        <w:t>presente  artículo  con  carácter  de  pago  definitivo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,  en  el  porcentaje  previsto </w:t>
      </w:r>
      <w:r w:rsidRPr="00CC1387">
        <w:rPr>
          <w:rFonts w:ascii="Arial Narrow" w:hAnsi="Arial Narrow" w:cs="Arial"/>
          <w:sz w:val="24"/>
          <w:szCs w:val="24"/>
          <w:lang w:val="es-SV"/>
        </w:rPr>
        <w:t xml:space="preserve">en  el  mismo,  por  los  pagos  que  realicen  a  sus 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 casas  matrices  en  cualquier </w:t>
      </w:r>
      <w:r w:rsidRPr="00CC1387">
        <w:rPr>
          <w:rFonts w:ascii="Arial Narrow" w:hAnsi="Arial Narrow" w:cs="Arial"/>
          <w:sz w:val="24"/>
          <w:szCs w:val="24"/>
          <w:lang w:val="es-SV"/>
        </w:rPr>
        <w:t>concepto,  salvo  que  correspondan  a  la  a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dquisición  de  bienes  muebles </w:t>
      </w:r>
      <w:r w:rsidRPr="00CC1387">
        <w:rPr>
          <w:rFonts w:ascii="Arial Narrow" w:hAnsi="Arial Narrow" w:cs="Arial"/>
          <w:sz w:val="24"/>
          <w:szCs w:val="24"/>
          <w:lang w:val="es-SV"/>
        </w:rPr>
        <w:t>corporales  o  utilidades  que  ha  obtenido  la  fili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al  o  sucursal  que  ya  hayan </w:t>
      </w:r>
      <w:r w:rsidRPr="00CC1387">
        <w:rPr>
          <w:rFonts w:ascii="Arial Narrow" w:hAnsi="Arial Narrow" w:cs="Arial"/>
          <w:sz w:val="24"/>
          <w:szCs w:val="24"/>
          <w:lang w:val="es-SV"/>
        </w:rPr>
        <w:t>pagado  el  Impuesto  correspondiente,  la  cual  d</w:t>
      </w:r>
      <w:r w:rsidR="000352AD" w:rsidRPr="00CC1387">
        <w:rPr>
          <w:rFonts w:ascii="Arial Narrow" w:hAnsi="Arial Narrow" w:cs="Arial"/>
          <w:sz w:val="24"/>
          <w:szCs w:val="24"/>
          <w:lang w:val="es-SV"/>
        </w:rPr>
        <w:t xml:space="preserve">eberán  enterar  en  el  plazo, </w:t>
      </w:r>
      <w:r w:rsidRPr="00CC1387">
        <w:rPr>
          <w:rFonts w:ascii="Arial Narrow" w:hAnsi="Arial Narrow" w:cs="Arial"/>
          <w:sz w:val="24"/>
          <w:szCs w:val="24"/>
          <w:lang w:val="es-SV"/>
        </w:rPr>
        <w:t>forma y medios que las leyes tributarias estipulen.</w:t>
      </w:r>
    </w:p>
    <w:p w:rsidR="000352AD" w:rsidRPr="00CC1387" w:rsidRDefault="000352AD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 xml:space="preserve">Artículo 158-A del C. </w:t>
      </w:r>
      <w:proofErr w:type="gramStart"/>
      <w:r w:rsidRPr="00CC1387">
        <w:rPr>
          <w:rFonts w:ascii="Arial Narrow" w:hAnsi="Arial Narrow" w:cs="Arial"/>
          <w:b/>
          <w:sz w:val="24"/>
          <w:szCs w:val="24"/>
          <w:lang w:val="es-SV"/>
        </w:rPr>
        <w:t>T .</w:t>
      </w:r>
      <w:proofErr w:type="gramEnd"/>
    </w:p>
    <w:p w:rsidR="000352AD" w:rsidRPr="00CC1387" w:rsidRDefault="000352AD" w:rsidP="00CC1387">
      <w:pPr>
        <w:spacing w:line="360" w:lineRule="auto"/>
        <w:ind w:left="708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t>Las personas naturales o jurídicas, sucesiones, fideicomisos, sociedades irregulares o de hecho  o  unión  de  personas,  domiciliados  en  el  país,  deberán  retener  el  veinticinco  por ciento  (25%)  como  pago  definitivo,  cuando  paguen  o  acrediten  sumas  a  personas naturales  o  jurídicas,  entidad  o  agrupamiento  de  personas  o  cualquier  sujeto,  que  se hayan  constituido,  se  encuentren  domiciliados  o  residan  en  países,  estados  o  territorios con  regímenes  fiscales  preferentes,  de  baja  o  nula  tributación  o  paraísos  fiscales,  de acuerdo  a  este  Código,  o  que  se  paguen  o  acrediten  a  través  de  personas,  entidades  o sujetos  constituidos,  domiciliados  o  residentes  en  los  referidos  países,  estados  o territorios y cuyo pago tenga incidencia tributaria en la República de El Salvador .</w:t>
      </w:r>
    </w:p>
    <w:p w:rsidR="000352AD" w:rsidRPr="00CC1387" w:rsidRDefault="000352AD" w:rsidP="00CC1387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 Narrow" w:hAnsi="Arial Narrow" w:cs="Arial"/>
          <w:b/>
          <w:sz w:val="24"/>
          <w:szCs w:val="24"/>
          <w:lang w:val="es-SV"/>
        </w:rPr>
      </w:pPr>
      <w:r w:rsidRPr="00CC1387">
        <w:rPr>
          <w:rFonts w:ascii="Arial Narrow" w:hAnsi="Arial Narrow" w:cs="Arial"/>
          <w:b/>
          <w:sz w:val="24"/>
          <w:szCs w:val="24"/>
          <w:lang w:val="es-SV"/>
        </w:rPr>
        <w:t>Artículo 29-A de la LISR. No se admitirán como erogaciones  deducibles de la renta obtenida: Numeral 6) inciso segundo</w:t>
      </w:r>
    </w:p>
    <w:p w:rsidR="000352AD" w:rsidRDefault="000352AD" w:rsidP="00CC1387">
      <w:pPr>
        <w:spacing w:line="360" w:lineRule="auto"/>
        <w:ind w:left="360"/>
        <w:jc w:val="both"/>
        <w:rPr>
          <w:rFonts w:ascii="Arial Narrow" w:hAnsi="Arial Narrow" w:cs="Arial"/>
          <w:sz w:val="24"/>
          <w:szCs w:val="24"/>
          <w:lang w:val="es-SV"/>
        </w:rPr>
      </w:pPr>
      <w:r w:rsidRPr="00CC1387">
        <w:rPr>
          <w:rFonts w:ascii="Arial Narrow" w:hAnsi="Arial Narrow" w:cs="Arial"/>
          <w:sz w:val="24"/>
          <w:szCs w:val="24"/>
          <w:lang w:val="es-SV"/>
        </w:rPr>
        <w:lastRenderedPageBreak/>
        <w:t>En  ningún  caso  serán  deducibles  las  pérdidas  provenientes  de  actos  u operaciones  efectuadas  entre  sujetos  relacionados,  o  con  personas  o  entidades residentes  o  domiciliadas  en  países,  estados  o  territorios  con  regímenes  fiscales preferentes,  de baja o nula tributación o paraísos fiscales</w:t>
      </w:r>
      <w:r w:rsidR="00CC1387">
        <w:rPr>
          <w:rFonts w:ascii="Arial Narrow" w:hAnsi="Arial Narrow" w:cs="Arial"/>
          <w:sz w:val="24"/>
          <w:szCs w:val="24"/>
          <w:lang w:val="es-SV"/>
        </w:rPr>
        <w:t>.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b/>
          <w:bCs/>
          <w:color w:val="000000"/>
          <w:lang w:eastAsia="es-SV"/>
        </w:rPr>
        <w:t>Informe de Operaciones con Sujetos Relacionados</w:t>
      </w:r>
    </w:p>
    <w:p w:rsidR="00CC1387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b/>
          <w:bCs/>
          <w:color w:val="000000"/>
          <w:lang w:eastAsia="es-SV"/>
        </w:rPr>
      </w:pPr>
    </w:p>
    <w:p w:rsidR="00CC1387" w:rsidRPr="00CC1387" w:rsidRDefault="00CC1387" w:rsidP="00CC1387">
      <w:pPr>
        <w:pStyle w:val="Prrafodelista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 w:rsidRPr="00CC1387">
        <w:rPr>
          <w:rFonts w:eastAsia="Times New Roman" w:cstheme="minorHAnsi"/>
          <w:b/>
          <w:bCs/>
          <w:color w:val="000000"/>
          <w:lang w:eastAsia="es-SV"/>
        </w:rPr>
        <w:t>Artículo 124-A.</w:t>
      </w:r>
      <w:r w:rsidRPr="00CC1387">
        <w:rPr>
          <w:rFonts w:eastAsia="Times New Roman" w:cstheme="minorHAnsi"/>
          <w:color w:val="000000"/>
          <w:lang w:eastAsia="es-SV"/>
        </w:rPr>
        <w:t> </w:t>
      </w:r>
      <w:r w:rsidRPr="00CC1387">
        <w:rPr>
          <w:rFonts w:eastAsia="Times New Roman" w:cstheme="minorHAnsi"/>
          <w:b/>
          <w:color w:val="000000"/>
          <w:lang w:eastAsia="es-SV"/>
        </w:rPr>
        <w:t>C.T.</w:t>
      </w:r>
    </w:p>
    <w:p w:rsidR="00CC1387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ind w:left="360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color w:val="000000"/>
          <w:lang w:eastAsia="es-SV"/>
        </w:rPr>
        <w:t>Los contribuyentes que celebren operaciones con sujetos relacionados o sujetos domiciliados, constituidos o ubicados en países, estados o territorios con regímenes fiscales preferentes, de baja o nula tributación o paraísos fiscales durante un ejercicio fiscal, y tales operaciones ya sea en forma individual o conjunta sean iguales o superiores a quinientos setenta y un mil cuatrocientos veintinueve dólares de los Estados Unidos de América ($571,429.00), deberán presentar un Informe de las operaciones que ejecute con dichos sujetos, a través de los formularios que proporcione la Administración Tributaria con los requisitos y especificaciones técnicas que ésta disponga para tal efecto. La presentación del Informe deberá realizarse a más tardar dentro de los tres primeros meses siguientes de finalizado el ejercicio fiscal.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b/>
          <w:bCs/>
          <w:color w:val="000000"/>
          <w:lang w:eastAsia="es-SV"/>
        </w:rPr>
        <w:t>Revelación en Dictamen Fiscal</w:t>
      </w:r>
    </w:p>
    <w:p w:rsidR="00CC1387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b/>
          <w:bCs/>
          <w:color w:val="000000"/>
          <w:lang w:eastAsia="es-SV"/>
        </w:rPr>
      </w:pPr>
    </w:p>
    <w:p w:rsidR="00CC1387" w:rsidRPr="00CC1387" w:rsidRDefault="00CC1387" w:rsidP="00CC1387">
      <w:pPr>
        <w:pStyle w:val="Prrafodelista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>
        <w:rPr>
          <w:rFonts w:eastAsia="Times New Roman" w:cstheme="minorHAnsi"/>
          <w:b/>
          <w:bCs/>
          <w:color w:val="000000"/>
          <w:lang w:eastAsia="es-SV"/>
        </w:rPr>
        <w:t>Artículo 135 C.T.</w:t>
      </w:r>
    </w:p>
    <w:p w:rsidR="00CC1387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ind w:firstLine="360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color w:val="000000"/>
          <w:lang w:eastAsia="es-SV"/>
        </w:rPr>
        <w:t>Los Auditores deberán cumplir con las siguientes obligaciones: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ind w:left="360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color w:val="000000"/>
          <w:lang w:eastAsia="es-SV"/>
        </w:rPr>
        <w:t>f) Reflejar en el Dictamen y en el Informe Fiscal, la situación tributaria del sujeto pasivo dictaminado, incluyendo una nota o apartado que las operaciones entre sujetos relacionados o con sujetos domiciliados, constituidos o ubicados en países, estados o territorios con regímenes fiscales preferentes, de baja o nula tributación o paraísos fiscales cumplen con las leyes tributarias y el presente Código.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b/>
          <w:bCs/>
          <w:color w:val="000000"/>
          <w:lang w:eastAsia="es-SV"/>
        </w:rPr>
        <w:t>Conservación de la Información</w:t>
      </w:r>
    </w:p>
    <w:p w:rsidR="00CC1387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b/>
          <w:bCs/>
          <w:color w:val="000000"/>
          <w:lang w:eastAsia="es-SV"/>
        </w:rPr>
      </w:pPr>
    </w:p>
    <w:p w:rsidR="00CC1387" w:rsidRDefault="00CC1387" w:rsidP="00CC1387">
      <w:pPr>
        <w:pStyle w:val="Prrafodelista"/>
        <w:numPr>
          <w:ilvl w:val="0"/>
          <w:numId w:val="4"/>
        </w:num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  <w:r w:rsidRPr="00CC1387">
        <w:rPr>
          <w:rFonts w:eastAsia="Times New Roman" w:cstheme="minorHAnsi"/>
          <w:b/>
          <w:bCs/>
          <w:color w:val="000000"/>
          <w:lang w:eastAsia="es-SV"/>
        </w:rPr>
        <w:t>Artículo 147 C.T.</w:t>
      </w:r>
    </w:p>
    <w:p w:rsidR="00CC1387" w:rsidRPr="00CC1387" w:rsidRDefault="00CC1387" w:rsidP="00CC1387">
      <w:pPr>
        <w:pStyle w:val="Prrafodelista"/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ind w:left="360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color w:val="000000"/>
          <w:lang w:eastAsia="es-SV"/>
        </w:rPr>
        <w:t>Las personas o entidades, tengan o no el carácter de contribuyentes, responsables, agentes de retención o percepción, auditores o contadores, deberán conservar en buen orden y estado, por un período de diez años contados a partir de su emisión o recibo, la siguiente documentación, información y pruebas: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ind w:left="360"/>
        <w:jc w:val="both"/>
        <w:rPr>
          <w:rFonts w:eastAsia="Times New Roman" w:cstheme="minorHAnsi"/>
          <w:color w:val="000000"/>
          <w:lang w:eastAsia="es-SV"/>
        </w:rPr>
      </w:pPr>
      <w:r w:rsidRPr="00223909">
        <w:rPr>
          <w:rFonts w:eastAsia="Times New Roman" w:cstheme="minorHAnsi"/>
          <w:color w:val="000000"/>
          <w:lang w:eastAsia="es-SV"/>
        </w:rPr>
        <w:lastRenderedPageBreak/>
        <w:t>e) La documentación de las operaciones realizadas con sujetos relacionados o sujetos domiciliados, constituidos o ubicados en países, estados o territorios con regímenes fiscales preferentes, de baja o nula tributación o paraísos fiscales.</w:t>
      </w: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223909" w:rsidRDefault="00CC1387" w:rsidP="00CC1387">
      <w:pPr>
        <w:shd w:val="clear" w:color="auto" w:fill="FFFFFF"/>
        <w:spacing w:after="0" w:line="315" w:lineRule="atLeast"/>
        <w:jc w:val="both"/>
        <w:rPr>
          <w:rFonts w:eastAsia="Times New Roman" w:cstheme="minorHAnsi"/>
          <w:color w:val="000000"/>
          <w:lang w:eastAsia="es-SV"/>
        </w:rPr>
      </w:pPr>
    </w:p>
    <w:p w:rsidR="00CC1387" w:rsidRPr="00CC1387" w:rsidRDefault="00CC1387" w:rsidP="00CC1387">
      <w:pPr>
        <w:spacing w:line="360" w:lineRule="auto"/>
        <w:ind w:left="360"/>
        <w:jc w:val="both"/>
        <w:rPr>
          <w:rFonts w:ascii="Arial Narrow" w:hAnsi="Arial Narrow" w:cs="Arial"/>
          <w:sz w:val="24"/>
          <w:szCs w:val="24"/>
          <w:lang w:val="es-SV"/>
        </w:rPr>
      </w:pPr>
    </w:p>
    <w:sectPr w:rsidR="00CC1387" w:rsidRPr="00CC13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7" type="#_x0000_t75" style="width:11.15pt;height:11.15pt" o:bullet="t">
        <v:imagedata r:id="rId1" o:title="mso1F5D"/>
      </v:shape>
    </w:pict>
  </w:numPicBullet>
  <w:abstractNum w:abstractNumId="0">
    <w:nsid w:val="0E3D7331"/>
    <w:multiLevelType w:val="hybridMultilevel"/>
    <w:tmpl w:val="D8E8C984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61B6E"/>
    <w:multiLevelType w:val="hybridMultilevel"/>
    <w:tmpl w:val="147C3440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8C60DCE"/>
    <w:multiLevelType w:val="hybridMultilevel"/>
    <w:tmpl w:val="ADBE07D6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DC1216"/>
    <w:multiLevelType w:val="hybridMultilevel"/>
    <w:tmpl w:val="9EBE6916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4D7D7B"/>
    <w:multiLevelType w:val="hybridMultilevel"/>
    <w:tmpl w:val="543CEFEA"/>
    <w:lvl w:ilvl="0" w:tplc="0C0A001B">
      <w:start w:val="1"/>
      <w:numFmt w:val="lowerRoman"/>
      <w:lvlText w:val="%1."/>
      <w:lvlJc w:val="right"/>
      <w:pPr>
        <w:ind w:left="1776" w:hanging="360"/>
      </w:pPr>
    </w:lvl>
    <w:lvl w:ilvl="1" w:tplc="0C0A0019" w:tentative="1">
      <w:start w:val="1"/>
      <w:numFmt w:val="lowerLetter"/>
      <w:lvlText w:val="%2."/>
      <w:lvlJc w:val="left"/>
      <w:pPr>
        <w:ind w:left="2496" w:hanging="360"/>
      </w:pPr>
    </w:lvl>
    <w:lvl w:ilvl="2" w:tplc="0C0A001B" w:tentative="1">
      <w:start w:val="1"/>
      <w:numFmt w:val="lowerRoman"/>
      <w:lvlText w:val="%3."/>
      <w:lvlJc w:val="right"/>
      <w:pPr>
        <w:ind w:left="3216" w:hanging="180"/>
      </w:pPr>
    </w:lvl>
    <w:lvl w:ilvl="3" w:tplc="0C0A000F" w:tentative="1">
      <w:start w:val="1"/>
      <w:numFmt w:val="decimal"/>
      <w:lvlText w:val="%4."/>
      <w:lvlJc w:val="left"/>
      <w:pPr>
        <w:ind w:left="3936" w:hanging="360"/>
      </w:pPr>
    </w:lvl>
    <w:lvl w:ilvl="4" w:tplc="0C0A0019" w:tentative="1">
      <w:start w:val="1"/>
      <w:numFmt w:val="lowerLetter"/>
      <w:lvlText w:val="%5."/>
      <w:lvlJc w:val="left"/>
      <w:pPr>
        <w:ind w:left="4656" w:hanging="360"/>
      </w:pPr>
    </w:lvl>
    <w:lvl w:ilvl="5" w:tplc="0C0A001B" w:tentative="1">
      <w:start w:val="1"/>
      <w:numFmt w:val="lowerRoman"/>
      <w:lvlText w:val="%6."/>
      <w:lvlJc w:val="right"/>
      <w:pPr>
        <w:ind w:left="5376" w:hanging="180"/>
      </w:pPr>
    </w:lvl>
    <w:lvl w:ilvl="6" w:tplc="0C0A000F" w:tentative="1">
      <w:start w:val="1"/>
      <w:numFmt w:val="decimal"/>
      <w:lvlText w:val="%7."/>
      <w:lvlJc w:val="left"/>
      <w:pPr>
        <w:ind w:left="6096" w:hanging="360"/>
      </w:pPr>
    </w:lvl>
    <w:lvl w:ilvl="7" w:tplc="0C0A0019" w:tentative="1">
      <w:start w:val="1"/>
      <w:numFmt w:val="lowerLetter"/>
      <w:lvlText w:val="%8."/>
      <w:lvlJc w:val="left"/>
      <w:pPr>
        <w:ind w:left="6816" w:hanging="360"/>
      </w:pPr>
    </w:lvl>
    <w:lvl w:ilvl="8" w:tplc="0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CD8495F"/>
    <w:multiLevelType w:val="hybridMultilevel"/>
    <w:tmpl w:val="CB0AC8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B8"/>
    <w:rsid w:val="000352AD"/>
    <w:rsid w:val="00045221"/>
    <w:rsid w:val="001846B8"/>
    <w:rsid w:val="001C02E7"/>
    <w:rsid w:val="003B7339"/>
    <w:rsid w:val="00B77159"/>
    <w:rsid w:val="00C05BB1"/>
    <w:rsid w:val="00CB2D2B"/>
    <w:rsid w:val="00CC1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4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4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1147</Words>
  <Characters>6887</Characters>
  <Application>Microsoft Office Word</Application>
  <DocSecurity>0</DocSecurity>
  <Lines>1147</Lines>
  <Paragraphs>1147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Stanley Guevara</dc:creator>
  <cp:lastModifiedBy>house</cp:lastModifiedBy>
  <cp:revision>2</cp:revision>
  <dcterms:created xsi:type="dcterms:W3CDTF">2013-10-28T04:51:00Z</dcterms:created>
  <dcterms:modified xsi:type="dcterms:W3CDTF">2013-10-28T04:51:00Z</dcterms:modified>
</cp:coreProperties>
</file>