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67" w:rsidRDefault="00A77C67" w:rsidP="00A77C67">
      <w:pPr>
        <w:jc w:val="both"/>
        <w:rPr>
          <w:rFonts w:ascii="Arial Narrow" w:hAnsi="Arial Narrow"/>
          <w:b/>
          <w:sz w:val="24"/>
          <w:szCs w:val="24"/>
        </w:rPr>
      </w:pPr>
      <w:r w:rsidRPr="00A77C67">
        <w:rPr>
          <w:rFonts w:ascii="Arial Narrow" w:hAnsi="Arial Narrow"/>
          <w:b/>
          <w:sz w:val="24"/>
          <w:szCs w:val="24"/>
        </w:rPr>
        <w:t xml:space="preserve">Precio de Transferencia </w:t>
      </w:r>
    </w:p>
    <w:p w:rsidR="000A2846" w:rsidRDefault="00A77C67" w:rsidP="00A77C67">
      <w:pPr>
        <w:jc w:val="both"/>
        <w:rPr>
          <w:rFonts w:ascii="Arial Narrow" w:hAnsi="Arial Narrow"/>
          <w:sz w:val="24"/>
          <w:szCs w:val="24"/>
        </w:rPr>
      </w:pPr>
      <w:bookmarkStart w:id="0" w:name="_GoBack"/>
      <w:bookmarkEnd w:id="0"/>
      <w:r w:rsidRPr="00A77C67">
        <w:rPr>
          <w:rFonts w:ascii="Arial Narrow" w:hAnsi="Arial Narrow"/>
          <w:sz w:val="24"/>
          <w:szCs w:val="24"/>
        </w:rPr>
        <w:t>“El precio pactado en la transferencia de bienes tangibles o intangibles, prestación de servicios, o cualquier otra operación realizada entre en</w:t>
      </w:r>
      <w:r>
        <w:rPr>
          <w:rFonts w:ascii="Arial Narrow" w:hAnsi="Arial Narrow"/>
          <w:sz w:val="24"/>
          <w:szCs w:val="24"/>
        </w:rPr>
        <w:t>tidades o sujetos relacionados”</w:t>
      </w:r>
    </w:p>
    <w:p w:rsidR="00A77C67" w:rsidRDefault="00A77C67" w:rsidP="00A77C67">
      <w:pPr>
        <w:jc w:val="both"/>
        <w:rPr>
          <w:rFonts w:ascii="Arial Narrow" w:hAnsi="Arial Narrow"/>
          <w:sz w:val="24"/>
          <w:szCs w:val="24"/>
        </w:rPr>
      </w:pPr>
    </w:p>
    <w:p w:rsidR="00A77C67" w:rsidRPr="00A77C67" w:rsidRDefault="00A77C67" w:rsidP="00A77C67">
      <w:pPr>
        <w:jc w:val="both"/>
        <w:rPr>
          <w:rFonts w:ascii="Arial Narrow" w:hAnsi="Arial Narrow"/>
          <w:b/>
          <w:sz w:val="24"/>
          <w:szCs w:val="24"/>
        </w:rPr>
      </w:pPr>
      <w:r w:rsidRPr="00A77C67">
        <w:rPr>
          <w:rFonts w:ascii="Arial Narrow" w:hAnsi="Arial Narrow"/>
          <w:b/>
          <w:sz w:val="24"/>
          <w:szCs w:val="24"/>
        </w:rPr>
        <w:t>Los precios de transferencia pueden visualizarse bajo dos enfoques:</w:t>
      </w:r>
    </w:p>
    <w:p w:rsidR="00A77C67" w:rsidRPr="00A77C67" w:rsidRDefault="00A77C67" w:rsidP="00A77C67">
      <w:pPr>
        <w:jc w:val="both"/>
        <w:rPr>
          <w:rFonts w:ascii="Arial Narrow" w:hAnsi="Arial Narrow"/>
          <w:sz w:val="24"/>
          <w:szCs w:val="24"/>
        </w:rPr>
      </w:pPr>
      <w:r w:rsidRPr="00A77C67">
        <w:rPr>
          <w:rFonts w:ascii="Arial Narrow" w:hAnsi="Arial Narrow"/>
          <w:b/>
          <w:sz w:val="24"/>
          <w:szCs w:val="24"/>
        </w:rPr>
        <w:t xml:space="preserve"> </w:t>
      </w:r>
      <w:r w:rsidRPr="00A77C67">
        <w:rPr>
          <w:rFonts w:ascii="Arial Narrow" w:hAnsi="Arial Narrow"/>
          <w:sz w:val="24"/>
          <w:szCs w:val="24"/>
        </w:rPr>
        <w:t xml:space="preserve">1. Para los grandes grupos multinacionales el objetivo es buscar territorios, jurisdicciones o países en donde puedan cumplir sus obligaciones fiscales con tasas reducidas, con bases gravables sumamente limitadas y de ser posible, con la </w:t>
      </w:r>
      <w:r w:rsidRPr="00A77C67">
        <w:rPr>
          <w:rFonts w:ascii="Arial Narrow" w:hAnsi="Arial Narrow"/>
          <w:sz w:val="24"/>
          <w:szCs w:val="24"/>
        </w:rPr>
        <w:t>más</w:t>
      </w:r>
      <w:r w:rsidRPr="00A77C67">
        <w:rPr>
          <w:rFonts w:ascii="Arial Narrow" w:hAnsi="Arial Narrow"/>
          <w:sz w:val="24"/>
          <w:szCs w:val="24"/>
        </w:rPr>
        <w:t xml:space="preserve"> baja precisión fiscal, optimizando así sus utilidades.  </w:t>
      </w:r>
    </w:p>
    <w:p w:rsidR="00A77C67" w:rsidRDefault="00A77C67" w:rsidP="00A77C67">
      <w:pPr>
        <w:jc w:val="both"/>
        <w:rPr>
          <w:rFonts w:ascii="Arial Narrow" w:hAnsi="Arial Narrow"/>
          <w:sz w:val="24"/>
          <w:szCs w:val="24"/>
        </w:rPr>
      </w:pPr>
      <w:r w:rsidRPr="00A77C67">
        <w:rPr>
          <w:rFonts w:ascii="Arial Narrow" w:hAnsi="Arial Narrow"/>
          <w:sz w:val="24"/>
          <w:szCs w:val="24"/>
        </w:rPr>
        <w:t>2. Por su cuenta las administraciones tributarias de cada uno de los países del mundo desean gravar la riqueza generada por los sujetos que se encuentran bajo su soberanía fiscal con el objeto que paguen el impuesto que hubiera correspondido, en operaciones realizadas en un mercado abierto, fuera de cualquier manipulación posible</w:t>
      </w:r>
      <w:r>
        <w:rPr>
          <w:rFonts w:ascii="Arial Narrow" w:hAnsi="Arial Narrow"/>
          <w:sz w:val="24"/>
          <w:szCs w:val="24"/>
        </w:rPr>
        <w:t>.</w:t>
      </w:r>
    </w:p>
    <w:p w:rsidR="00A77C67" w:rsidRDefault="00A77C67" w:rsidP="00A77C67">
      <w:pPr>
        <w:jc w:val="both"/>
        <w:rPr>
          <w:rFonts w:ascii="Arial Narrow" w:hAnsi="Arial Narrow"/>
          <w:sz w:val="24"/>
          <w:szCs w:val="24"/>
        </w:rPr>
      </w:pPr>
    </w:p>
    <w:p w:rsidR="00A77C67" w:rsidRPr="00A77C67" w:rsidRDefault="00A77C67" w:rsidP="00A77C67">
      <w:pPr>
        <w:jc w:val="both"/>
        <w:rPr>
          <w:rFonts w:ascii="Arial Narrow" w:hAnsi="Arial Narrow"/>
          <w:b/>
          <w:sz w:val="24"/>
          <w:szCs w:val="24"/>
        </w:rPr>
      </w:pPr>
      <w:r w:rsidRPr="00A77C67">
        <w:rPr>
          <w:rFonts w:ascii="Arial Narrow" w:hAnsi="Arial Narrow"/>
          <w:b/>
          <w:sz w:val="24"/>
          <w:szCs w:val="24"/>
        </w:rPr>
        <w:t>Determinación de Precios</w:t>
      </w:r>
    </w:p>
    <w:p w:rsidR="00A77C67" w:rsidRDefault="00A77C67" w:rsidP="00A77C67">
      <w:pPr>
        <w:jc w:val="both"/>
        <w:rPr>
          <w:rFonts w:ascii="Arial Narrow" w:hAnsi="Arial Narrow"/>
          <w:sz w:val="24"/>
          <w:szCs w:val="24"/>
        </w:rPr>
      </w:pPr>
      <w:r w:rsidRPr="00A77C67">
        <w:rPr>
          <w:rFonts w:ascii="Arial Narrow" w:hAnsi="Arial Narrow"/>
          <w:sz w:val="24"/>
          <w:szCs w:val="24"/>
        </w:rPr>
        <w:t xml:space="preserve">  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w:t>
      </w:r>
    </w:p>
    <w:p w:rsidR="00A77C67" w:rsidRDefault="00A77C67" w:rsidP="00A77C67">
      <w:pPr>
        <w:jc w:val="both"/>
        <w:rPr>
          <w:rFonts w:ascii="Arial Narrow" w:hAnsi="Arial Narrow"/>
          <w:sz w:val="24"/>
          <w:szCs w:val="24"/>
        </w:rPr>
      </w:pPr>
    </w:p>
    <w:p w:rsidR="00A77C67" w:rsidRDefault="00A77C67" w:rsidP="00A77C67">
      <w:pPr>
        <w:jc w:val="both"/>
        <w:rPr>
          <w:rFonts w:ascii="Arial Narrow" w:hAnsi="Arial Narrow"/>
          <w:b/>
          <w:sz w:val="24"/>
          <w:szCs w:val="24"/>
        </w:rPr>
      </w:pPr>
      <w:r w:rsidRPr="00A77C67">
        <w:rPr>
          <w:rFonts w:ascii="Arial Narrow" w:hAnsi="Arial Narrow"/>
          <w:b/>
          <w:sz w:val="24"/>
          <w:szCs w:val="24"/>
        </w:rPr>
        <w:t xml:space="preserve">Estimación de la Base Imponible </w:t>
      </w:r>
    </w:p>
    <w:p w:rsidR="00A77C67" w:rsidRPr="00A77C67" w:rsidRDefault="00A77C67" w:rsidP="00A77C67">
      <w:pPr>
        <w:jc w:val="both"/>
        <w:rPr>
          <w:rFonts w:ascii="Arial Narrow" w:hAnsi="Arial Narrow"/>
          <w:sz w:val="24"/>
          <w:szCs w:val="24"/>
        </w:rPr>
      </w:pPr>
      <w:r w:rsidRPr="00A77C67">
        <w:rPr>
          <w:rFonts w:ascii="Arial Narrow" w:hAnsi="Arial Narrow"/>
          <w:sz w:val="24"/>
          <w:szCs w:val="24"/>
        </w:rPr>
        <w:t xml:space="preserve">Se faculta a la Administración Tributaria para </w:t>
      </w:r>
    </w:p>
    <w:p w:rsidR="00A77C67" w:rsidRPr="00A77C67" w:rsidRDefault="00A77C67" w:rsidP="00A77C67">
      <w:pPr>
        <w:jc w:val="both"/>
        <w:rPr>
          <w:rFonts w:ascii="Arial Narrow" w:hAnsi="Arial Narrow"/>
          <w:sz w:val="24"/>
          <w:szCs w:val="24"/>
        </w:rPr>
      </w:pPr>
      <w:r w:rsidRPr="00A77C67">
        <w:rPr>
          <w:rFonts w:ascii="Arial Narrow" w:hAnsi="Arial Narrow"/>
          <w:sz w:val="24"/>
          <w:szCs w:val="24"/>
        </w:rPr>
        <w:t xml:space="preserve">• Estimar la base imponible de IVA: si el precio de la transferencia o monto de la remuneración no fueren fidedignos o resultaren inferiores o superiores al corriente de mercado. </w:t>
      </w:r>
    </w:p>
    <w:p w:rsidR="00A77C67" w:rsidRDefault="00A77C67" w:rsidP="00A77C67">
      <w:pPr>
        <w:jc w:val="both"/>
        <w:rPr>
          <w:rFonts w:ascii="Arial Narrow" w:hAnsi="Arial Narrow"/>
          <w:sz w:val="24"/>
          <w:szCs w:val="24"/>
        </w:rPr>
      </w:pPr>
      <w:r w:rsidRPr="00A77C67">
        <w:rPr>
          <w:rFonts w:ascii="Arial Narrow" w:hAnsi="Arial Narrow"/>
          <w:sz w:val="24"/>
          <w:szCs w:val="24"/>
        </w:rPr>
        <w:t xml:space="preserve">• Establecer el crédito fiscal: cuando el precio de adquisición, sea superior al corriente de mercado. </w:t>
      </w:r>
    </w:p>
    <w:p w:rsidR="00A77C67" w:rsidRPr="00A77C67" w:rsidRDefault="00A77C67" w:rsidP="00A77C67">
      <w:pPr>
        <w:jc w:val="both"/>
        <w:rPr>
          <w:rFonts w:ascii="Arial Narrow" w:hAnsi="Arial Narrow"/>
          <w:sz w:val="24"/>
          <w:szCs w:val="24"/>
        </w:rPr>
      </w:pPr>
      <w:r w:rsidRPr="00A77C67">
        <w:rPr>
          <w:rFonts w:ascii="Arial Narrow" w:hAnsi="Arial Narrow"/>
          <w:sz w:val="24"/>
          <w:szCs w:val="24"/>
        </w:rPr>
        <w:t xml:space="preserve">• Determinar la renta y deducciones del ISR: cuando éstas resulten ser inferiores o superiores a los precios de mercado </w:t>
      </w:r>
      <w:r w:rsidRPr="00A77C67">
        <w:rPr>
          <w:rFonts w:ascii="Arial Narrow" w:hAnsi="Arial Narrow"/>
          <w:sz w:val="24"/>
          <w:szCs w:val="24"/>
        </w:rPr>
        <w:cr/>
      </w:r>
    </w:p>
    <w:sectPr w:rsidR="00A77C67" w:rsidRPr="00A77C67" w:rsidSect="00465821">
      <w:pgSz w:w="12240" w:h="15840" w:code="1"/>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C67"/>
    <w:rsid w:val="000A2846"/>
    <w:rsid w:val="00465821"/>
    <w:rsid w:val="00A77C6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318</Words>
  <Characters>1751</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dc:creator>
  <cp:lastModifiedBy>IVAN</cp:lastModifiedBy>
  <cp:revision>1</cp:revision>
  <dcterms:created xsi:type="dcterms:W3CDTF">2013-10-27T16:15:00Z</dcterms:created>
  <dcterms:modified xsi:type="dcterms:W3CDTF">2013-10-27T16:24:00Z</dcterms:modified>
</cp:coreProperties>
</file>