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A1A" w:rsidRPr="008345BF" w:rsidRDefault="00BE3BD5" w:rsidP="008345BF">
      <w:pPr>
        <w:pStyle w:val="Ttulo1"/>
        <w:spacing w:line="240" w:lineRule="auto"/>
        <w:rPr>
          <w:sz w:val="22"/>
          <w:szCs w:val="22"/>
        </w:rPr>
      </w:pPr>
      <w:r w:rsidRPr="008345BF">
        <w:rPr>
          <w:sz w:val="22"/>
          <w:szCs w:val="22"/>
        </w:rPr>
        <w:t xml:space="preserve">Resumen sobre  Normas Internacionales de Para el Ejercicio Profesional de la Auditoría Interna </w:t>
      </w:r>
    </w:p>
    <w:p w:rsidR="00323F61" w:rsidRPr="008345BF" w:rsidRDefault="00323F61" w:rsidP="008345BF">
      <w:pPr>
        <w:spacing w:line="240" w:lineRule="auto"/>
      </w:pPr>
    </w:p>
    <w:p w:rsidR="00323F61" w:rsidRDefault="00323F61" w:rsidP="008345BF">
      <w:pPr>
        <w:spacing w:line="240" w:lineRule="auto"/>
        <w:jc w:val="both"/>
      </w:pPr>
      <w:r w:rsidRPr="00507136">
        <w:rPr>
          <w:b/>
        </w:rPr>
        <w:t>Auditoría interna:</w:t>
      </w:r>
      <w:r w:rsidRPr="008345BF">
        <w:t xml:space="preserve"> es una actividad independiente y objetiva basada en el aseguramiento y consulta, creada con la finalidad de agregar o aportar valor y para mejorar los proces</w:t>
      </w:r>
      <w:r w:rsidR="002872E6" w:rsidRPr="008345BF">
        <w:t xml:space="preserve">os de la entidad u organización; también ayuda al cumplimiento de los objetivos de la organización y proporciona un enfoque sistemático y disciplinario para evaluar y mejorar  los procesos de gestión de riesgos, control y gobierno. </w:t>
      </w:r>
      <w:r w:rsidRPr="008345BF">
        <w:t xml:space="preserve"> </w:t>
      </w:r>
    </w:p>
    <w:p w:rsidR="00E871B2" w:rsidRDefault="00E871B2" w:rsidP="008345BF">
      <w:pPr>
        <w:spacing w:line="240" w:lineRule="auto"/>
        <w:jc w:val="both"/>
      </w:pPr>
      <w:r w:rsidRPr="00507136">
        <w:rPr>
          <w:b/>
        </w:rPr>
        <w:t>Aseguramiento:</w:t>
      </w:r>
      <w:r>
        <w:t xml:space="preserve"> es la tarea de evaluación objetiva de la evidencia  </w:t>
      </w:r>
      <w:r w:rsidR="007F6BF3">
        <w:t>para dar una opinión o conclusión  independiente respecto a una entidad, operaciones funciones procesos u otros asuntos. El alcance y objetivo de esta depende del auditor. Cuenta con tres partes: dueño del proceso, auditor que realiza la revisión y el o los usuarios.</w:t>
      </w:r>
    </w:p>
    <w:p w:rsidR="007F6BF3" w:rsidRDefault="007F6BF3" w:rsidP="008345BF">
      <w:pPr>
        <w:spacing w:line="240" w:lineRule="auto"/>
        <w:jc w:val="both"/>
      </w:pPr>
      <w:r w:rsidRPr="007F6BF3">
        <w:rPr>
          <w:b/>
        </w:rPr>
        <w:t>Consultoría:</w:t>
      </w:r>
      <w:r>
        <w:rPr>
          <w:b/>
        </w:rPr>
        <w:t xml:space="preserve"> </w:t>
      </w:r>
      <w:r w:rsidRPr="007F6BF3">
        <w:t>Son consejos por petición del cliente.</w:t>
      </w:r>
      <w:r>
        <w:t xml:space="preserve"> El alcance y objetivo  de estas depende de lo establecido po9r el cliente. Cuenta con dos partes: El cliente que solicita el concejo y el auditor que emite el consejo.</w:t>
      </w:r>
    </w:p>
    <w:p w:rsidR="007F6BF3" w:rsidRPr="00723032" w:rsidRDefault="007F6BF3" w:rsidP="008345BF">
      <w:pPr>
        <w:spacing w:line="240" w:lineRule="auto"/>
        <w:jc w:val="both"/>
      </w:pPr>
      <w:r w:rsidRPr="007F6BF3">
        <w:rPr>
          <w:b/>
        </w:rPr>
        <w:t xml:space="preserve">Estatuto: </w:t>
      </w:r>
      <w:r w:rsidRPr="00723032">
        <w:t xml:space="preserve">Es un documento formal </w:t>
      </w:r>
      <w:r w:rsidR="00723032">
        <w:t>que def</w:t>
      </w:r>
      <w:r w:rsidR="00723032" w:rsidRPr="00723032">
        <w:t>ine el propósito  autoridad y responsabilidad</w:t>
      </w:r>
      <w:r w:rsidR="00723032">
        <w:t xml:space="preserve"> </w:t>
      </w:r>
      <w:r w:rsidR="00723032" w:rsidRPr="00723032">
        <w:t>de la auditoría interna.</w:t>
      </w:r>
    </w:p>
    <w:p w:rsidR="00323F61" w:rsidRPr="008345BF" w:rsidRDefault="00323F61" w:rsidP="008345BF">
      <w:pPr>
        <w:spacing w:line="240" w:lineRule="auto"/>
        <w:jc w:val="both"/>
        <w:rPr>
          <w:b/>
        </w:rPr>
      </w:pPr>
      <w:r w:rsidRPr="008345BF">
        <w:rPr>
          <w:b/>
        </w:rPr>
        <w:t>El libro rojo consta de tres partes:</w:t>
      </w:r>
    </w:p>
    <w:p w:rsidR="00323F61" w:rsidRPr="008345BF" w:rsidRDefault="00323F61" w:rsidP="008345BF">
      <w:pPr>
        <w:pStyle w:val="Prrafodelista"/>
        <w:numPr>
          <w:ilvl w:val="0"/>
          <w:numId w:val="2"/>
        </w:numPr>
        <w:spacing w:line="240" w:lineRule="auto"/>
        <w:jc w:val="both"/>
      </w:pPr>
      <w:r w:rsidRPr="008345BF">
        <w:rPr>
          <w:b/>
        </w:rPr>
        <w:t>Código de de ética:</w:t>
      </w:r>
      <w:r w:rsidRPr="008345BF">
        <w:t xml:space="preserve"> con la finalidad de promover una cultura ética basada en confianza y aseguramiento del buen desempeño de la gestión de riegos, control y gobierno.</w:t>
      </w:r>
      <w:r w:rsidR="002872E6" w:rsidRPr="008345BF">
        <w:t xml:space="preserve"> </w:t>
      </w:r>
      <w:r w:rsidR="001C005F" w:rsidRPr="008345BF">
        <w:t>Esta</w:t>
      </w:r>
      <w:r w:rsidR="002872E6" w:rsidRPr="008345BF">
        <w:t xml:space="preserve">  compuesta por dos componentes esenciales.</w:t>
      </w:r>
    </w:p>
    <w:p w:rsidR="002872E6" w:rsidRPr="008345BF" w:rsidRDefault="002872E6" w:rsidP="008345BF">
      <w:pPr>
        <w:pStyle w:val="Prrafodelista"/>
        <w:spacing w:line="240" w:lineRule="auto"/>
        <w:jc w:val="both"/>
        <w:rPr>
          <w:b/>
        </w:rPr>
      </w:pPr>
    </w:p>
    <w:tbl>
      <w:tblPr>
        <w:tblStyle w:val="Cuadrculaclara-nfasis1"/>
        <w:tblW w:w="10740" w:type="dxa"/>
        <w:tblLook w:val="04A0"/>
      </w:tblPr>
      <w:tblGrid>
        <w:gridCol w:w="1940"/>
        <w:gridCol w:w="8800"/>
      </w:tblGrid>
      <w:tr w:rsidR="002872E6" w:rsidRPr="008345BF" w:rsidTr="008345BF">
        <w:trPr>
          <w:cnfStyle w:val="100000000000"/>
          <w:trHeight w:val="350"/>
        </w:trPr>
        <w:tc>
          <w:tcPr>
            <w:cnfStyle w:val="001000000000"/>
            <w:tcW w:w="1940" w:type="dxa"/>
          </w:tcPr>
          <w:p w:rsidR="002872E6" w:rsidRPr="008345BF" w:rsidRDefault="002872E6" w:rsidP="008345BF">
            <w:pPr>
              <w:tabs>
                <w:tab w:val="center" w:pos="1976"/>
                <w:tab w:val="left" w:pos="3135"/>
              </w:tabs>
              <w:jc w:val="center"/>
            </w:pPr>
            <w:r w:rsidRPr="008345BF">
              <w:t>Principios</w:t>
            </w:r>
          </w:p>
        </w:tc>
        <w:tc>
          <w:tcPr>
            <w:tcW w:w="8800" w:type="dxa"/>
          </w:tcPr>
          <w:p w:rsidR="002872E6" w:rsidRPr="008345BF" w:rsidRDefault="002872E6" w:rsidP="008345BF">
            <w:pPr>
              <w:pStyle w:val="Prrafodelista"/>
              <w:ind w:left="0"/>
              <w:jc w:val="center"/>
              <w:cnfStyle w:val="100000000000"/>
            </w:pPr>
            <w:r w:rsidRPr="008345BF">
              <w:t>Reglas de Conducta</w:t>
            </w:r>
          </w:p>
        </w:tc>
      </w:tr>
      <w:tr w:rsidR="002872E6" w:rsidRPr="008345BF" w:rsidTr="008345BF">
        <w:trPr>
          <w:cnfStyle w:val="000000100000"/>
          <w:trHeight w:val="74"/>
        </w:trPr>
        <w:tc>
          <w:tcPr>
            <w:cnfStyle w:val="001000000000"/>
            <w:tcW w:w="1940" w:type="dxa"/>
          </w:tcPr>
          <w:p w:rsidR="002872E6" w:rsidRPr="008345BF" w:rsidRDefault="002872E6" w:rsidP="008345BF">
            <w:pPr>
              <w:pStyle w:val="Prrafodelista"/>
              <w:ind w:left="0"/>
              <w:jc w:val="both"/>
            </w:pPr>
            <w:r w:rsidRPr="008345BF">
              <w:t>Integridad</w:t>
            </w:r>
          </w:p>
        </w:tc>
        <w:tc>
          <w:tcPr>
            <w:tcW w:w="8800" w:type="dxa"/>
          </w:tcPr>
          <w:p w:rsidR="002872E6" w:rsidRPr="008345BF" w:rsidRDefault="001C005F" w:rsidP="008345BF">
            <w:pPr>
              <w:pStyle w:val="Prrafodelista"/>
              <w:ind w:left="0"/>
              <w:jc w:val="both"/>
              <w:cnfStyle w:val="000000100000"/>
            </w:pPr>
            <w:r w:rsidRPr="008345BF">
              <w:t>Significa seguridad, realizar el trabajo con honestidad, diligencia y responsabilidad, debe cumplir con las leyes y normas correspondientes y evitar participar en actividades ilegales o que vallan en detrimento de la profesión.</w:t>
            </w:r>
          </w:p>
        </w:tc>
      </w:tr>
      <w:tr w:rsidR="002872E6" w:rsidRPr="008345BF" w:rsidTr="008345BF">
        <w:trPr>
          <w:cnfStyle w:val="000000010000"/>
        </w:trPr>
        <w:tc>
          <w:tcPr>
            <w:cnfStyle w:val="001000000000"/>
            <w:tcW w:w="1940" w:type="dxa"/>
          </w:tcPr>
          <w:p w:rsidR="002872E6" w:rsidRPr="008345BF" w:rsidRDefault="002872E6" w:rsidP="008345BF">
            <w:pPr>
              <w:pStyle w:val="Prrafodelista"/>
              <w:ind w:left="0"/>
              <w:jc w:val="both"/>
            </w:pPr>
            <w:r w:rsidRPr="008345BF">
              <w:t>Objetividad</w:t>
            </w:r>
          </w:p>
        </w:tc>
        <w:tc>
          <w:tcPr>
            <w:tcW w:w="8800" w:type="dxa"/>
          </w:tcPr>
          <w:p w:rsidR="002872E6" w:rsidRPr="008345BF" w:rsidRDefault="001C005F" w:rsidP="008345BF">
            <w:pPr>
              <w:pStyle w:val="Prrafodelista"/>
              <w:ind w:left="0"/>
              <w:jc w:val="both"/>
              <w:cnfStyle w:val="000000010000"/>
            </w:pPr>
            <w:r w:rsidRPr="008345BF">
              <w:t>Significa realizar las evaluaciones de la empresa lo más objetivo posible, y evitar part5icipar en actividades o relaciones que perjudiquen la evaluación imparcial y el juicio profesional.</w:t>
            </w:r>
          </w:p>
        </w:tc>
      </w:tr>
      <w:tr w:rsidR="002872E6" w:rsidRPr="008345BF" w:rsidTr="008345BF">
        <w:trPr>
          <w:cnfStyle w:val="000000100000"/>
        </w:trPr>
        <w:tc>
          <w:tcPr>
            <w:cnfStyle w:val="001000000000"/>
            <w:tcW w:w="1940" w:type="dxa"/>
          </w:tcPr>
          <w:p w:rsidR="002872E6" w:rsidRPr="008345BF" w:rsidRDefault="002872E6" w:rsidP="008345BF">
            <w:pPr>
              <w:pStyle w:val="Prrafodelista"/>
              <w:ind w:left="0"/>
              <w:jc w:val="both"/>
            </w:pPr>
            <w:r w:rsidRPr="008345BF">
              <w:t>Confidencialidad</w:t>
            </w:r>
          </w:p>
        </w:tc>
        <w:tc>
          <w:tcPr>
            <w:tcW w:w="8800" w:type="dxa"/>
          </w:tcPr>
          <w:p w:rsidR="002872E6" w:rsidRPr="008345BF" w:rsidRDefault="001C005F" w:rsidP="008345BF">
            <w:pPr>
              <w:pStyle w:val="Prrafodelista"/>
              <w:ind w:left="0"/>
              <w:jc w:val="both"/>
              <w:cnfStyle w:val="000000100000"/>
            </w:pPr>
            <w:r w:rsidRPr="008345BF">
              <w:t>Significa prudencia en uso y protección de información y no para utilizar la información para lucro personal.</w:t>
            </w:r>
          </w:p>
        </w:tc>
      </w:tr>
      <w:tr w:rsidR="002872E6" w:rsidRPr="008345BF" w:rsidTr="008345BF">
        <w:trPr>
          <w:cnfStyle w:val="000000010000"/>
        </w:trPr>
        <w:tc>
          <w:tcPr>
            <w:cnfStyle w:val="001000000000"/>
            <w:tcW w:w="1940" w:type="dxa"/>
          </w:tcPr>
          <w:p w:rsidR="002872E6" w:rsidRPr="008345BF" w:rsidRDefault="002872E6" w:rsidP="008345BF">
            <w:pPr>
              <w:pStyle w:val="Prrafodelista"/>
              <w:ind w:left="0"/>
              <w:jc w:val="both"/>
            </w:pPr>
            <w:r w:rsidRPr="008345BF">
              <w:t>Competencia</w:t>
            </w:r>
          </w:p>
        </w:tc>
        <w:tc>
          <w:tcPr>
            <w:tcW w:w="8800" w:type="dxa"/>
          </w:tcPr>
          <w:p w:rsidR="002872E6" w:rsidRPr="008345BF" w:rsidRDefault="001C005F" w:rsidP="008345BF">
            <w:pPr>
              <w:pStyle w:val="Prrafodelista"/>
              <w:ind w:left="0"/>
              <w:jc w:val="both"/>
              <w:cnfStyle w:val="000000010000"/>
            </w:pPr>
            <w:r w:rsidRPr="008345BF">
              <w:t>Es la aplicación de conocimientos, aptitudes y experiencias para realizar el trabajo, estos deben mejora continuamente.</w:t>
            </w:r>
          </w:p>
        </w:tc>
      </w:tr>
    </w:tbl>
    <w:p w:rsidR="002872E6" w:rsidRPr="008345BF" w:rsidRDefault="002872E6" w:rsidP="008345BF">
      <w:pPr>
        <w:pStyle w:val="Prrafodelista"/>
        <w:spacing w:line="240" w:lineRule="auto"/>
        <w:jc w:val="both"/>
      </w:pPr>
    </w:p>
    <w:p w:rsidR="002872E6" w:rsidRPr="008345BF" w:rsidRDefault="002872E6" w:rsidP="008345BF">
      <w:pPr>
        <w:pStyle w:val="Prrafodelista"/>
        <w:spacing w:line="240" w:lineRule="auto"/>
        <w:jc w:val="both"/>
      </w:pPr>
    </w:p>
    <w:p w:rsidR="00323F61" w:rsidRPr="008345BF" w:rsidRDefault="00323F61" w:rsidP="008345BF">
      <w:pPr>
        <w:pStyle w:val="Prrafodelista"/>
        <w:numPr>
          <w:ilvl w:val="0"/>
          <w:numId w:val="2"/>
        </w:numPr>
        <w:spacing w:line="240" w:lineRule="auto"/>
        <w:jc w:val="both"/>
      </w:pPr>
      <w:r w:rsidRPr="008345BF">
        <w:rPr>
          <w:b/>
        </w:rPr>
        <w:t>Norma de Auditoria:</w:t>
      </w:r>
      <w:r w:rsidRPr="008345BF">
        <w:t xml:space="preserve"> están conformadas por atributos, desempeño e implantación con el propósito de definir los principios básicos que representen el ejercicio de la auditoría interna.</w:t>
      </w:r>
      <w:r w:rsidR="008345BF" w:rsidRPr="008345BF">
        <w:t xml:space="preserve"> Esta norma se estructura de la siguiente manera.</w:t>
      </w:r>
    </w:p>
    <w:tbl>
      <w:tblPr>
        <w:tblStyle w:val="Cuadrculaclara-nfasis1"/>
        <w:tblW w:w="10740" w:type="dxa"/>
        <w:tblLook w:val="04A0"/>
      </w:tblPr>
      <w:tblGrid>
        <w:gridCol w:w="2802"/>
        <w:gridCol w:w="7938"/>
      </w:tblGrid>
      <w:tr w:rsidR="008345BF" w:rsidRPr="008345BF" w:rsidTr="008345BF">
        <w:trPr>
          <w:cnfStyle w:val="100000000000"/>
        </w:trPr>
        <w:tc>
          <w:tcPr>
            <w:cnfStyle w:val="001000000000"/>
            <w:tcW w:w="2802" w:type="dxa"/>
          </w:tcPr>
          <w:p w:rsidR="008345BF" w:rsidRPr="008345BF" w:rsidRDefault="008345BF" w:rsidP="008345BF">
            <w:pPr>
              <w:jc w:val="both"/>
            </w:pPr>
            <w:r w:rsidRPr="008345BF">
              <w:t>Norma de atributos</w:t>
            </w:r>
          </w:p>
        </w:tc>
        <w:tc>
          <w:tcPr>
            <w:tcW w:w="7938" w:type="dxa"/>
          </w:tcPr>
          <w:p w:rsidR="008345BF" w:rsidRPr="008345BF" w:rsidRDefault="008345BF" w:rsidP="008345BF">
            <w:pPr>
              <w:jc w:val="both"/>
              <w:cnfStyle w:val="100000000000"/>
              <w:rPr>
                <w:b w:val="0"/>
              </w:rPr>
            </w:pPr>
            <w:r w:rsidRPr="008345BF">
              <w:rPr>
                <w:b w:val="0"/>
              </w:rPr>
              <w:t>Trata sobre las características de la organización y las personas que prestan servicios de auditoría.</w:t>
            </w:r>
          </w:p>
        </w:tc>
      </w:tr>
      <w:tr w:rsidR="008345BF" w:rsidRPr="008345BF" w:rsidTr="008345BF">
        <w:trPr>
          <w:cnfStyle w:val="000000100000"/>
        </w:trPr>
        <w:tc>
          <w:tcPr>
            <w:cnfStyle w:val="001000000000"/>
            <w:tcW w:w="2802" w:type="dxa"/>
          </w:tcPr>
          <w:p w:rsidR="008345BF" w:rsidRPr="008345BF" w:rsidRDefault="008345BF" w:rsidP="008345BF">
            <w:pPr>
              <w:jc w:val="both"/>
            </w:pPr>
            <w:r w:rsidRPr="008345BF">
              <w:t>Norma sobre desempeño</w:t>
            </w:r>
          </w:p>
        </w:tc>
        <w:tc>
          <w:tcPr>
            <w:tcW w:w="7938" w:type="dxa"/>
          </w:tcPr>
          <w:p w:rsidR="008345BF" w:rsidRPr="008345BF" w:rsidRDefault="008345BF" w:rsidP="008345BF">
            <w:pPr>
              <w:jc w:val="both"/>
              <w:cnfStyle w:val="000000100000"/>
            </w:pPr>
            <w:r w:rsidRPr="008345BF">
              <w:t>Describe la naturaleza de los servicios  y proporciona criterios de calidad.</w:t>
            </w:r>
          </w:p>
        </w:tc>
      </w:tr>
      <w:tr w:rsidR="008345BF" w:rsidRPr="008345BF" w:rsidTr="008345BF">
        <w:trPr>
          <w:cnfStyle w:val="000000010000"/>
        </w:trPr>
        <w:tc>
          <w:tcPr>
            <w:cnfStyle w:val="001000000000"/>
            <w:tcW w:w="2802" w:type="dxa"/>
          </w:tcPr>
          <w:p w:rsidR="008345BF" w:rsidRPr="008345BF" w:rsidRDefault="008345BF" w:rsidP="008345BF">
            <w:pPr>
              <w:jc w:val="both"/>
            </w:pPr>
            <w:r w:rsidRPr="008345BF">
              <w:t>Norma de Implantación</w:t>
            </w:r>
          </w:p>
        </w:tc>
        <w:tc>
          <w:tcPr>
            <w:tcW w:w="7938" w:type="dxa"/>
          </w:tcPr>
          <w:p w:rsidR="008345BF" w:rsidRPr="008345BF" w:rsidRDefault="008345BF" w:rsidP="008345BF">
            <w:pPr>
              <w:jc w:val="both"/>
              <w:cnfStyle w:val="000000010000"/>
            </w:pPr>
            <w:r w:rsidRPr="008345BF">
              <w:t>Amplían las normas anteriores proporcionando los requisitos aplicables  a las actividades de aseguramiento y consulta.</w:t>
            </w:r>
          </w:p>
        </w:tc>
      </w:tr>
    </w:tbl>
    <w:p w:rsidR="001C005F" w:rsidRPr="008345BF" w:rsidRDefault="001C005F" w:rsidP="008345BF">
      <w:pPr>
        <w:spacing w:line="240" w:lineRule="auto"/>
        <w:jc w:val="both"/>
      </w:pPr>
    </w:p>
    <w:p w:rsidR="002872E6" w:rsidRDefault="00323F61" w:rsidP="008345BF">
      <w:pPr>
        <w:pStyle w:val="Prrafodelista"/>
        <w:numPr>
          <w:ilvl w:val="0"/>
          <w:numId w:val="2"/>
        </w:numPr>
        <w:spacing w:line="240" w:lineRule="auto"/>
        <w:jc w:val="both"/>
      </w:pPr>
      <w:r w:rsidRPr="008345BF">
        <w:rPr>
          <w:b/>
        </w:rPr>
        <w:t>Concejos para la práctica:</w:t>
      </w:r>
      <w:r w:rsidRPr="008345BF">
        <w:t xml:space="preserve"> son lineamientos para el cumplimiento de las normas de auditoría y ética</w:t>
      </w:r>
      <w:r w:rsidR="00E871B2">
        <w:t>.</w:t>
      </w:r>
    </w:p>
    <w:p w:rsidR="00E871B2" w:rsidRDefault="00E871B2" w:rsidP="00E871B2">
      <w:pPr>
        <w:spacing w:line="240" w:lineRule="auto"/>
        <w:jc w:val="both"/>
      </w:pPr>
    </w:p>
    <w:p w:rsidR="00E871B2" w:rsidRPr="00C451C3" w:rsidRDefault="00C451C3" w:rsidP="00C451C3">
      <w:pPr>
        <w:spacing w:line="240" w:lineRule="auto"/>
        <w:jc w:val="center"/>
        <w:rPr>
          <w:b/>
        </w:rPr>
      </w:pPr>
      <w:r w:rsidRPr="00C451C3">
        <w:rPr>
          <w:b/>
        </w:rPr>
        <w:t>PATRICIA BEATRIZ HERNANDEZ CASTILLO</w:t>
      </w:r>
    </w:p>
    <w:sectPr w:rsidR="00E871B2" w:rsidRPr="00C451C3" w:rsidSect="008345BF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057"/>
    <w:multiLevelType w:val="hybridMultilevel"/>
    <w:tmpl w:val="FE96443E"/>
    <w:lvl w:ilvl="0" w:tplc="440A0017">
      <w:start w:val="1"/>
      <w:numFmt w:val="lowerLetter"/>
      <w:lvlText w:val="%1)"/>
      <w:lvlJc w:val="lef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1130E0"/>
    <w:multiLevelType w:val="hybridMultilevel"/>
    <w:tmpl w:val="5D1ECC5C"/>
    <w:lvl w:ilvl="0" w:tplc="4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35E5C70"/>
    <w:multiLevelType w:val="hybridMultilevel"/>
    <w:tmpl w:val="49189FB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33A9E"/>
    <w:multiLevelType w:val="hybridMultilevel"/>
    <w:tmpl w:val="CA104DB4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3BD5"/>
    <w:rsid w:val="001C005F"/>
    <w:rsid w:val="002872E6"/>
    <w:rsid w:val="00323F61"/>
    <w:rsid w:val="004B4A1A"/>
    <w:rsid w:val="00507136"/>
    <w:rsid w:val="00723032"/>
    <w:rsid w:val="007F6BF3"/>
    <w:rsid w:val="008345BF"/>
    <w:rsid w:val="00BE3BD5"/>
    <w:rsid w:val="00C451C3"/>
    <w:rsid w:val="00D377EC"/>
    <w:rsid w:val="00E87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A1A"/>
  </w:style>
  <w:style w:type="paragraph" w:styleId="Ttulo1">
    <w:name w:val="heading 1"/>
    <w:basedOn w:val="Normal"/>
    <w:next w:val="Normal"/>
    <w:link w:val="Ttulo1Car"/>
    <w:uiPriority w:val="9"/>
    <w:qFormat/>
    <w:rsid w:val="00323F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23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323F61"/>
    <w:pPr>
      <w:ind w:left="720"/>
      <w:contextualSpacing/>
    </w:pPr>
  </w:style>
  <w:style w:type="table" w:styleId="Tablaconcuadrcula">
    <w:name w:val="Table Grid"/>
    <w:basedOn w:val="Tablanormal"/>
    <w:uiPriority w:val="59"/>
    <w:rsid w:val="00287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1">
    <w:name w:val="Light Grid Accent 1"/>
    <w:basedOn w:val="Tablanormal"/>
    <w:uiPriority w:val="62"/>
    <w:rsid w:val="002872E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Patty HC</cp:lastModifiedBy>
  <cp:revision>4</cp:revision>
  <dcterms:created xsi:type="dcterms:W3CDTF">2013-08-23T03:41:00Z</dcterms:created>
  <dcterms:modified xsi:type="dcterms:W3CDTF">2013-08-23T06:25:00Z</dcterms:modified>
</cp:coreProperties>
</file>