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33F" w:rsidRPr="003D133F" w:rsidRDefault="003D133F" w:rsidP="003D133F">
      <w:pPr>
        <w:spacing w:line="360" w:lineRule="auto"/>
        <w:jc w:val="both"/>
        <w:rPr>
          <w:rFonts w:ascii="Arial Narrow" w:hAnsi="Arial Narrow" w:cs="Tahoma"/>
          <w:b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b/>
          <w:color w:val="555544"/>
          <w:sz w:val="24"/>
          <w:szCs w:val="20"/>
          <w:shd w:val="clear" w:color="auto" w:fill="FFFFFF"/>
        </w:rPr>
        <w:t>Resumen Código Tributario.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Se entiende por Administración Tributaria: Entidad estatal que se encarga de la recaudación de los tributos contenidos en la legislación salvadoreña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</w:rPr>
        <w:br/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Contabilidad</w:t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 formal: aquella que se ajusta consistentemente a uno de los métodos generalmente aceptados por la técnica contable apropiado al negocio que se trate, la cual es llevada en libros legalmente autorizados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Principios en los cuáles se basan las actuaciones de la Administración Tributaria: Justicia, Igualdad, Legalidad, Celeridad, </w:t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Proporcionalidad,</w:t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 Economía, Eficacia, Verdad Material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Derechos de los administrados ante la Administración Tributaria: a) De petición, que lleva implícito el derecho a que se haga saber por escrito a los administrados la respuesta de las peticiones que presenten; b) De contradicción, que comprende los siguientes derechos; 1. A utilizar los medios de prueba establecidos en este Código; 2. A ser oído, para lo cual al sujeto pasivo se le deberá conceder audiencia y un plazo para defenderse; 3. A ofrecer y aportar pruebas; 4. Alegar sobre el mérito de las pruebas; 5. A una decisión fundada; y, 6. A interponer los recursos correspondientes. c) De acceso al expediente administrativo, por sí o por medio de representa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Finalidad de las Guías de Orientación emitidas por la Administración Tributaria: proporcionar al profesional de la contaduría </w:t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pública</w:t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 los elementos básicos para la elaboración del dictamen fiscal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Interpretación de los elementos del hecho generador: En tanto no se definan por el ordenamiento tributario los términos estrictos para el ámbito del hecho generador, empleados en sus normas, se entenderá conforme a su sentido jurídico o técnico según proceda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Formas de extinción de la obligación tributaria sustantiva: </w:t>
      </w:r>
    </w:p>
    <w:p w:rsidR="003D133F" w:rsidRDefault="003D133F" w:rsidP="003D13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Pago, </w:t>
      </w:r>
    </w:p>
    <w:p w:rsidR="003D133F" w:rsidRDefault="003D133F" w:rsidP="003D13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Compensación,</w:t>
      </w:r>
    </w:p>
    <w:p w:rsidR="003D133F" w:rsidRDefault="003D133F" w:rsidP="003D13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Confusión, </w:t>
      </w:r>
    </w:p>
    <w:p w:rsidR="003D133F" w:rsidRPr="003D133F" w:rsidRDefault="003D133F" w:rsidP="003D133F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Prescripción</w:t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Deberes y obligaciones tributarias de los sujetos pasivos, contribuyentes o responsables, según el Código Tributario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.</w:t>
      </w:r>
    </w:p>
    <w:p w:rsidR="003D133F" w:rsidRDefault="003D133F" w:rsidP="003D13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lastRenderedPageBreak/>
        <w:t xml:space="preserve">El cumplimiento de la obligación puede ser exigido totalmente a cualquiera de los obligados solidarios; </w:t>
      </w:r>
    </w:p>
    <w:p w:rsidR="003D133F" w:rsidRDefault="003D133F" w:rsidP="003D133F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 El cumplimiento total de la obligación por uno de los o</w:t>
      </w:r>
      <w:r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bligados libera a los demás; y,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El cumplimiento de un deber formal por parte de uno de los obligados, no libera a los demás, cuando por disposición legal expresa se exija que los otros obligados lo cumplan.</w:t>
      </w:r>
      <w:r w:rsidRPr="003D133F">
        <w:rPr>
          <w:rFonts w:ascii="Arial Narrow" w:hAnsi="Arial Narrow" w:cs="Tahoma"/>
          <w:color w:val="555544"/>
          <w:sz w:val="24"/>
          <w:szCs w:val="20"/>
        </w:rPr>
        <w:br/>
      </w:r>
      <w:r w:rsidRPr="003D133F">
        <w:rPr>
          <w:rFonts w:ascii="Arial Narrow" w:hAnsi="Arial Narrow" w:cs="Tahoma"/>
          <w:color w:val="555544"/>
          <w:sz w:val="24"/>
          <w:szCs w:val="20"/>
        </w:rPr>
        <w:br/>
      </w: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Documentos exigidos por el CT y explique a quienes, cuando y porque deben emitirse.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Comprobante de crédito fiscal: debe emitirse a otros contribuyentes del impuesto IVA, cuando los conceptos ahí contenidos sean necesarios para la realización de su actividad económica, por la prestación de servicios y la venta de bienes muebles;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 Factura: debe emitirse a toda persona que adquiera bienes muebles o reciba la prestación de un servicio, sin embargo se le deberá emitir a un contribuyente del impuesto cuando las actividades a las que se destine los conceptos contenidos en ella no sean para la generación de actividades gravadas con dicho impuesto, o por aquellos casos </w:t>
      </w:r>
      <w:proofErr w:type="spellStart"/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estrictamentemente</w:t>
      </w:r>
      <w:proofErr w:type="spellEnd"/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 contemplados en la ley; 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Comprobante de Retención: documento que ampara la retención del 1% sobre valores comprados a medianos y pequeños contribuyentes por parte de una gran contribuyente, para lo cual el monto mínimo de transacción es de $ 100.00; 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Documento Contable de Liquidación: documento que ampara la retención de anticipo a cuenta que realizan los emisores de tarjetas de crédito a sus afiliados por las ventas que realizan recibiendo tarjetas de dicho emisor, retención que corresponde al 2% sobre los valores netos de la transacción; 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 xml:space="preserve">Nota de Remisión: documento que ampara el traslado de mercaderías que han de ser entregadas a los clientes; </w:t>
      </w:r>
    </w:p>
    <w:p w:rsidR="003D133F" w:rsidRPr="003D133F" w:rsidRDefault="003D133F" w:rsidP="003D133F">
      <w:pPr>
        <w:pStyle w:val="Prrafodelista"/>
        <w:numPr>
          <w:ilvl w:val="0"/>
          <w:numId w:val="3"/>
        </w:numPr>
        <w:spacing w:line="360" w:lineRule="auto"/>
        <w:rPr>
          <w:rFonts w:ascii="Arial Narrow" w:hAnsi="Arial Narrow"/>
          <w:sz w:val="28"/>
        </w:rPr>
      </w:pPr>
      <w:r w:rsidRPr="003D133F">
        <w:rPr>
          <w:rFonts w:ascii="Arial Narrow" w:hAnsi="Arial Narrow" w:cs="Tahoma"/>
          <w:color w:val="555544"/>
          <w:sz w:val="24"/>
          <w:szCs w:val="20"/>
          <w:shd w:val="clear" w:color="auto" w:fill="FFFFFF"/>
        </w:rPr>
        <w:t>Recibo Simple: documento que ampara la compra de bienes o de servicios por parte de un contribuyente del impuesto a una persona natural que no lo sea.</w:t>
      </w:r>
    </w:p>
    <w:p w:rsidR="003F7326" w:rsidRPr="003D133F" w:rsidRDefault="001E7EC6" w:rsidP="003D133F">
      <w:pPr>
        <w:spacing w:line="360" w:lineRule="auto"/>
        <w:ind w:left="360"/>
        <w:jc w:val="both"/>
        <w:rPr>
          <w:rFonts w:ascii="Arial Narrow" w:hAnsi="Arial Narrow" w:cs="Tahoma"/>
          <w:color w:val="555544"/>
          <w:sz w:val="32"/>
          <w:szCs w:val="20"/>
          <w:shd w:val="clear" w:color="auto" w:fill="FFFFFF"/>
        </w:rPr>
      </w:pPr>
      <w:bookmarkStart w:id="0" w:name="_GoBack"/>
      <w:bookmarkEnd w:id="0"/>
    </w:p>
    <w:sectPr w:rsidR="003F7326" w:rsidRPr="003D133F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EC6" w:rsidRDefault="001E7EC6" w:rsidP="002D41D1">
      <w:pPr>
        <w:spacing w:after="0" w:line="240" w:lineRule="auto"/>
      </w:pPr>
      <w:r>
        <w:separator/>
      </w:r>
    </w:p>
  </w:endnote>
  <w:endnote w:type="continuationSeparator" w:id="0">
    <w:p w:rsidR="001E7EC6" w:rsidRDefault="001E7EC6" w:rsidP="002D41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1D1" w:rsidRDefault="002D41D1">
    <w:pPr>
      <w:pStyle w:val="Piedepgina"/>
    </w:pPr>
    <w:r>
      <w:t xml:space="preserve">Oscar Francisco Pérez Morán, PM09013, </w:t>
    </w:r>
    <w:proofErr w:type="spellStart"/>
    <w:r>
      <w:t>Gt</w:t>
    </w:r>
    <w:proofErr w:type="spellEnd"/>
    <w:r>
      <w:t xml:space="preserve"> </w:t>
    </w:r>
    <w:proofErr w:type="gramStart"/>
    <w:r>
      <w:t>04 ,</w:t>
    </w:r>
    <w:proofErr w:type="gramEnd"/>
    <w:r>
      <w:t xml:space="preserve"> OperezGT04.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EC6" w:rsidRDefault="001E7EC6" w:rsidP="002D41D1">
      <w:pPr>
        <w:spacing w:after="0" w:line="240" w:lineRule="auto"/>
      </w:pPr>
      <w:r>
        <w:separator/>
      </w:r>
    </w:p>
  </w:footnote>
  <w:footnote w:type="continuationSeparator" w:id="0">
    <w:p w:rsidR="001E7EC6" w:rsidRDefault="001E7EC6" w:rsidP="002D41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85961"/>
    <w:multiLevelType w:val="hybridMultilevel"/>
    <w:tmpl w:val="57A6FC6C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D019A"/>
    <w:multiLevelType w:val="hybridMultilevel"/>
    <w:tmpl w:val="729E95F4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82EDC"/>
    <w:multiLevelType w:val="hybridMultilevel"/>
    <w:tmpl w:val="C6DEDC0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3F"/>
    <w:rsid w:val="001E7EC6"/>
    <w:rsid w:val="002D41D1"/>
    <w:rsid w:val="003D133F"/>
    <w:rsid w:val="00502425"/>
    <w:rsid w:val="009E1C65"/>
    <w:rsid w:val="00B4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41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1D1"/>
  </w:style>
  <w:style w:type="paragraph" w:styleId="Piedepgina">
    <w:name w:val="footer"/>
    <w:basedOn w:val="Normal"/>
    <w:link w:val="PiedepginaCar"/>
    <w:uiPriority w:val="99"/>
    <w:unhideWhenUsed/>
    <w:rsid w:val="002D41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1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3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41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41D1"/>
  </w:style>
  <w:style w:type="paragraph" w:styleId="Piedepgina">
    <w:name w:val="footer"/>
    <w:basedOn w:val="Normal"/>
    <w:link w:val="PiedepginaCar"/>
    <w:uiPriority w:val="99"/>
    <w:unhideWhenUsed/>
    <w:rsid w:val="002D41D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41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582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</dc:creator>
  <cp:lastModifiedBy>Fran</cp:lastModifiedBy>
  <cp:revision>2</cp:revision>
  <dcterms:created xsi:type="dcterms:W3CDTF">2013-10-12T05:21:00Z</dcterms:created>
  <dcterms:modified xsi:type="dcterms:W3CDTF">2013-10-12T05:47:00Z</dcterms:modified>
</cp:coreProperties>
</file>