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B5F" w:rsidRPr="005E4B5F" w:rsidRDefault="005E4B5F" w:rsidP="005E4B5F">
      <w:pPr>
        <w:shd w:val="clear" w:color="auto" w:fill="FFFFFF"/>
        <w:spacing w:before="120" w:after="120" w:line="276" w:lineRule="auto"/>
        <w:jc w:val="both"/>
        <w:outlineLvl w:val="1"/>
        <w:rPr>
          <w:rFonts w:ascii="Arial Narrow" w:eastAsia="Times New Roman" w:hAnsi="Arial Narrow" w:cs="Arial"/>
          <w:b/>
          <w:bCs/>
          <w:sz w:val="24"/>
          <w:szCs w:val="24"/>
          <w:lang w:eastAsia="es-SV"/>
        </w:rPr>
      </w:pPr>
      <w:r w:rsidRPr="005E4B5F">
        <w:rPr>
          <w:rFonts w:ascii="Arial Narrow" w:eastAsia="Times New Roman" w:hAnsi="Arial Narrow" w:cs="Arial"/>
          <w:b/>
          <w:bCs/>
          <w:sz w:val="24"/>
          <w:szCs w:val="24"/>
          <w:lang w:eastAsia="es-SV"/>
        </w:rPr>
        <w:t>Marco legal regulatorio de los Precios de Transferencia en El Salvador</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Decreto No. 233 del 29 de diciembre de 2009 El Congreso de El Salvador publicó sus reformas al Código Tributario, a través del Decreto No. 233, que entre lo más relevante, introduce importantes adiciones al tema de precios de transferencia, de acuerdo a los siguientes artículos:</w:t>
      </w: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bookmarkStart w:id="0" w:name="_GoBack"/>
      <w:r w:rsidRPr="005E4B5F">
        <w:rPr>
          <w:rFonts w:ascii="Arial Narrow" w:eastAsia="Times New Roman" w:hAnsi="Arial Narrow" w:cs="Arial"/>
          <w:b/>
          <w:bCs/>
          <w:sz w:val="24"/>
          <w:szCs w:val="24"/>
          <w:lang w:eastAsia="es-SV"/>
        </w:rPr>
        <w:t>Valor de mercado, Facultad de Autoridad Fiscal y Operaciones.</w:t>
      </w:r>
    </w:p>
    <w:bookmarkEnd w:id="0"/>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62-A</w:t>
      </w:r>
      <w:r w:rsidRPr="005E4B5F">
        <w:rPr>
          <w:rFonts w:ascii="Arial Narrow" w:eastAsia="Times New Roman" w:hAnsi="Arial Narrow" w:cs="Arial"/>
          <w:bCs/>
          <w:sz w:val="24"/>
          <w:szCs w:val="24"/>
          <w:lang w:eastAsia="es-SV"/>
        </w:rPr>
        <w:t>.</w:t>
      </w:r>
      <w:r w:rsidRPr="005E4B5F">
        <w:rPr>
          <w:rFonts w:ascii="Arial Narrow" w:eastAsia="Times New Roman" w:hAnsi="Arial Narrow" w:cs="Arial"/>
          <w:sz w:val="24"/>
          <w:szCs w:val="24"/>
          <w:lang w:eastAsia="es-SV"/>
        </w:rPr>
        <w:t> "Para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 "</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Cuando los contribuyentes incumplan las obligaciones reguladas en el inciso anterior</w:t>
      </w:r>
      <w:r w:rsidRPr="005E4B5F">
        <w:rPr>
          <w:rFonts w:ascii="Arial Narrow" w:eastAsia="Times New Roman" w:hAnsi="Arial Narrow" w:cs="Arial"/>
          <w:sz w:val="24"/>
          <w:szCs w:val="24"/>
          <w:lang w:eastAsia="es-SV"/>
        </w:rPr>
        <w:t>, la Administración Tributaria de conformidad con lo dispuesto en los artículos 199-A, 199-B, 199-C y 199-D de este Código,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Para efectos de este Código y las leyes tributarias, se considerarán regímenes fiscales preferentes, de baja o nula tributación o paraísos fiscales, los que se encuentren en alguna de las siguientes situaciones: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1.0 Aquellos que no están gravados en el extranjero, o lo están con un Impuesto sobre la Renta calculado sobre ingresos o renta neta o imponible, inferior al 80% del Impuesto sobre la Renta que se causaría y pagaría en El Salvador;</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2.0 Los que clasifique la </w:t>
      </w:r>
      <w:hyperlink r:id="rId7" w:tgtFrame="_blank" w:history="1">
        <w:r w:rsidRPr="005E4B5F">
          <w:rPr>
            <w:rFonts w:ascii="Arial Narrow" w:eastAsia="Times New Roman" w:hAnsi="Arial Narrow" w:cs="Arial"/>
            <w:sz w:val="24"/>
            <w:szCs w:val="24"/>
            <w:lang w:eastAsia="es-SV"/>
          </w:rPr>
          <w:t>Organización para la Cooperación y el Desarrollo Económico (OCDE) </w:t>
        </w:r>
      </w:hyperlink>
      <w:r w:rsidRPr="005E4B5F">
        <w:rPr>
          <w:rFonts w:ascii="Arial Narrow" w:eastAsia="Times New Roman" w:hAnsi="Arial Narrow" w:cs="Arial"/>
          <w:sz w:val="24"/>
          <w:szCs w:val="24"/>
          <w:lang w:eastAsia="es-SV"/>
        </w:rPr>
        <w:t>y el </w:t>
      </w:r>
      <w:hyperlink r:id="rId8" w:tgtFrame="_blank" w:history="1">
        <w:r w:rsidRPr="005E4B5F">
          <w:rPr>
            <w:rFonts w:ascii="Arial Narrow" w:eastAsia="Times New Roman" w:hAnsi="Arial Narrow" w:cs="Arial"/>
            <w:sz w:val="24"/>
            <w:szCs w:val="24"/>
            <w:lang w:eastAsia="es-SV"/>
          </w:rPr>
          <w:t>Grupo de Acción Financiera Internacional (GAFI)</w:t>
        </w:r>
      </w:hyperlink>
      <w:r w:rsidRPr="005E4B5F">
        <w:rPr>
          <w:rFonts w:ascii="Arial Narrow" w:eastAsia="Times New Roman" w:hAnsi="Arial Narrow" w:cs="Arial"/>
          <w:sz w:val="24"/>
          <w:szCs w:val="24"/>
          <w:lang w:eastAsia="es-SV"/>
        </w:rPr>
        <w:t> .</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La Administración Tributaria deberá publicar en el sitio o página electrónica del </w:t>
      </w:r>
      <w:hyperlink r:id="rId9" w:tgtFrame="_blank" w:history="1">
        <w:r w:rsidRPr="005E4B5F">
          <w:rPr>
            <w:rFonts w:ascii="Arial Narrow" w:eastAsia="Times New Roman" w:hAnsi="Arial Narrow" w:cs="Arial"/>
            <w:sz w:val="24"/>
            <w:szCs w:val="24"/>
            <w:lang w:eastAsia="es-SV"/>
          </w:rPr>
          <w:t>Ministerio de Hacienda</w:t>
        </w:r>
      </w:hyperlink>
      <w:r w:rsidRPr="005E4B5F">
        <w:rPr>
          <w:rFonts w:ascii="Arial Narrow" w:eastAsia="Times New Roman" w:hAnsi="Arial Narrow" w:cs="Arial"/>
          <w:sz w:val="24"/>
          <w:szCs w:val="24"/>
          <w:lang w:eastAsia="es-SV"/>
        </w:rPr>
        <w:t> , el listado de los nombres de los países, estados o territorios que se enmarquen en los romanos anteriores, a más tardar en el mes de septiembre de cada año, el cual será vigente para el ejercicio fiscal siguiente al de su publicación".</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Facultad de Autoridad Fiscal</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Artículo 199-A.</w:t>
      </w:r>
      <w:r w:rsidRPr="005E4B5F">
        <w:rPr>
          <w:rFonts w:ascii="Arial Narrow" w:eastAsia="Times New Roman" w:hAnsi="Arial Narrow" w:cs="Arial"/>
          <w:sz w:val="24"/>
          <w:szCs w:val="24"/>
          <w:lang w:eastAsia="es-SV"/>
        </w:rPr>
        <w:t xml:space="preserve"> Se faculta a la Administración Tributaria para efectuar la estimación de la base imponible del Impuesto a la Transferencia de Bienes Muebles y a la Prestación de Servicios, si por cualquier razón el precio de la transferencia de bienes muebles corporales o el monto de la remuneración de la prestación de servicios no fueren fidedignos o resultaren inferiores o superiores al corriente de mercado, sea que se trate de bienes gravados, exentos o no afectos al referido impuesto, respectivamente, o no se hubieran emitido los documentos a que se refiere este Código o </w:t>
      </w:r>
      <w:r w:rsidRPr="005E4B5F">
        <w:rPr>
          <w:rFonts w:ascii="Arial Narrow" w:eastAsia="Times New Roman" w:hAnsi="Arial Narrow" w:cs="Arial"/>
          <w:sz w:val="24"/>
          <w:szCs w:val="24"/>
          <w:lang w:eastAsia="es-SV"/>
        </w:rPr>
        <w:lastRenderedPageBreak/>
        <w:t>las leyes tributarias correspondientes, o el valor de las operaciones no estuviere determinado o no fuere o no pudiere ser conocido.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La misma facultad tendrá la Administración Tributaria para establecer el crédito fiscal, cuando el precio de la adquisición de los bienes o contraprestación de los servicios recibidos, sea superior al corriente de mercado.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Para efectos del Impuesto sobre la Renta, la Administración Tributaria podrá valorar a precios de mercado las operaciones para determinar la renta y deducciones, cuando éstas resulten ser inferiores o superiores a los precios de mercado.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Lo dispuesto en este artículo será aplicable cuando los valores establecidos por los contribuyentes resulten inferiores o superiores al valor de mercado, o no se hubieran emitido los documentos a que se refiere este Código o las leyes tributarias correspondientes, o el valor de las operaciones no estuviere determinado o no fuere o no pudiere ser conocido, originando impago de impuestos, un saldo a favor superior al que le corresponde, una tributación inferior, un diferimiento en la tributación, o la reclamación de un beneficio o incentivo fiscal superior al que corresponde.</w:t>
      </w: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Determinación de Precio</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199-B.</w:t>
      </w:r>
      <w:r w:rsidRPr="005E4B5F">
        <w:rPr>
          <w:rFonts w:ascii="Arial Narrow" w:eastAsia="Times New Roman" w:hAnsi="Arial Narrow" w:cs="Arial"/>
          <w:sz w:val="24"/>
          <w:szCs w:val="24"/>
          <w:lang w:eastAsia="es-SV"/>
        </w:rPr>
        <w:t> 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En el caso de las importaciones el precio de mercado lo constituirá, el precio que tengan los bienes o servicios de la misma especie en negocios o establecimientos no relacionados con el sujeto fiscalizado, en el país en el que haya sido adquirido el bien o el servicio, más los costos o gastos de transporte, cuando proceda.</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Para establecer el precio de mercado, cuando haya más de tres oferentes de los bienes o servicios, bastará para efectos determinativos, la información de precios de tres oferentes, de los cuales se adoptará para esos fines un precio promedio.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Cuando en el mercado nacional o internacional, según sea el caso, existieren menos de tres oferentes de esos bienes o servicios, bastará para efectos determinativos la información de precios de los oferentes existentes, o por lo menos uno de ellos. En el primer caso citado se adoptará el precio promedio y en el segundo, el del único oferente.</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 xml:space="preserve">En ningún caso, podrá incluirse al sujeto fiscalizado ni a sujetos relacionados con éste, entre los oferentes cuyos precios se adoptaran como base de la determinación del precio de mercado; de </w:t>
      </w:r>
      <w:r w:rsidRPr="005E4B5F">
        <w:rPr>
          <w:rFonts w:ascii="Arial Narrow" w:eastAsia="Times New Roman" w:hAnsi="Arial Narrow" w:cs="Arial"/>
          <w:sz w:val="24"/>
          <w:szCs w:val="24"/>
          <w:lang w:eastAsia="es-SV"/>
        </w:rPr>
        <w:lastRenderedPageBreak/>
        <w:t>hacerse, por no haber podido apreciarse la relación con el sujeto fiscalizado, no se invalidará la actuación de la Administración Tributaria.</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Si por cualquier razón, el precio de mercado no pudiere determinarse, la Administración Tributaria lo establecerá adoptando el precio o el monto de las contraprestaciones que el contribuyente fiscalizado haya recibido de adquirentes de bienes o prestatarios de servicios no relacionados distintos a aquellos a los que transfirió bienes o prestó servicios a un precio inferior o superior al de mercado.</w:t>
      </w: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Definición de Sujetos Relacionados: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199-C</w:t>
      </w:r>
      <w:r w:rsidRPr="005E4B5F">
        <w:rPr>
          <w:rFonts w:ascii="Arial Narrow" w:eastAsia="Times New Roman" w:hAnsi="Arial Narrow" w:cs="Arial"/>
          <w:bCs/>
          <w:sz w:val="24"/>
          <w:szCs w:val="24"/>
          <w:lang w:eastAsia="es-SV"/>
        </w:rPr>
        <w:t>.- </w:t>
      </w:r>
      <w:r w:rsidRPr="005E4B5F">
        <w:rPr>
          <w:rFonts w:ascii="Arial Narrow" w:eastAsia="Times New Roman" w:hAnsi="Arial Narrow" w:cs="Arial"/>
          <w:sz w:val="24"/>
          <w:szCs w:val="24"/>
          <w:lang w:eastAsia="es-SV"/>
        </w:rPr>
        <w:t>Para efectos de lo dispuesto en este Código y demás leyes tributarias se entenderá como sujetos relacionados: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a. Cuando uno de ellos dirija o controle la otra, o posea, directa o indirectamente, al menos el 25% de su capital social o de sus derechos de voto.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b. Cuando cinco o menos personas dirijan o controlen ambas personas, o posean en su conjunto, directa o indirectamente, al menos el 25% de participación en el capital social o los derechos de voto de ambas personas.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c. Cuando sean sociedades que pertenezcan a una misma unidad de decisión o grupo empresarial.</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En particular, dos sociedades forman parte de la misma unidad de decisión o grupo empresarial si una de ellas es socio o partícipe de la otra y se encuentra en relación con ésta en alguna de las siguientes situaciones:</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1. Posea la mayoría de los derechos de voto.</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2. Tenga la facultad de nombrar o destituir a la mayoría de los miembros del órgano de administración.</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3. Pueda disponer, en virtud de acuerdos celebrados con otros socios, de la mayoría de los derechos de voto.</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4. Haya designado exclusivamente con sus votos a la mayoría de los miembros del órgano de administración.</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5. La mayoría de los miembros del órgano de administración de la sociedad dominada sean miembros o gerentes del órgano de administración de la sociedad dominante o de otra dominada por ésta.</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Cuando dos sociedades formen parte cada una de ellas de una unidad de decisión o grupo empresarial respecto de una tercera sociedad, de acuerdo con lo dispuesto en este literal, todas estas sociedades integrarán una unidad de decisión o grupo empresarial.</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lastRenderedPageBreak/>
        <w:t>d. A los efectos de los literales anteriores, también se considera que una persona natural posee una participación en el capital social o derechos de voto, cuando la titularidad de la participación directa o indirectamente, corresponde al cónyuge o persona unida por relación de parentesco en línea directa o colateral, por consanguinidad hasta el cuarto grado o por afinidad hasta el segundo grado.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e. En una unión de personas, sociedad de hecho o contrato de colaboración empresarial o un contrato de asociación en participación, cuando alguno de los contratantes o asociados participe directa o indirectamente en más del 25% por ciento en el resultado o utilidad del contrato o de las actividades derivadas de la asociación.</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f. Una persona domiciliada en el país y un distribuidor o ente exclusivo de la misma residente en el extranjero.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g. Un distribuidor o agente exclusivo domiciliado en el país de una entidad domiciliada en el exterior y ésta última.</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h. Una persona domiciliada en el país y su proveedor del exterior, cuando éste le efectué compras, y el volumen representa más del cincuenta por ciento (50%).</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i. Una persona residente en el país y sus establecimientos permanentes en el extranjero.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j. Un establecimiento permanente situado en el país y su casa central o matriz residente en el exterior, otro establecimiento permanente de la misma o una persona con ella relacionada.</w:t>
      </w: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Comparabilidad y Ajustes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199-D</w:t>
      </w:r>
      <w:r w:rsidRPr="005E4B5F">
        <w:rPr>
          <w:rFonts w:ascii="Arial Narrow" w:eastAsia="Times New Roman" w:hAnsi="Arial Narrow" w:cs="Arial"/>
          <w:bCs/>
          <w:sz w:val="24"/>
          <w:szCs w:val="24"/>
          <w:lang w:eastAsia="es-SV"/>
        </w:rPr>
        <w:t>. </w:t>
      </w:r>
      <w:r w:rsidRPr="005E4B5F">
        <w:rPr>
          <w:rFonts w:ascii="Arial Narrow" w:eastAsia="Times New Roman" w:hAnsi="Arial Narrow" w:cs="Arial"/>
          <w:sz w:val="24"/>
          <w:szCs w:val="24"/>
          <w:lang w:eastAsia="es-SV"/>
        </w:rPr>
        <w:t>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1. Características de las operaciones efectuadas, sean estas transferencias de bienes materiales, bienes intangibles o prestación de servicios.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2. Análisis de las funciones o actividades desempeñadas, incluyendo los activos utilizados y riesgos asumidos en las operaciones de cada una de las partes involucradas en la operación.</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3. Términos contractuales o los que no se encuentren expresamente en ningún contrato, con los que realmente se cumplen las transacciones entre partes relacionadas e independientes.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4. Circunstancias económicas.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5. Estrategias de negocios.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lastRenderedPageBreak/>
        <w:t>En caso de existir diferencias relevantes entre las características económicas de las operaciones, que afecten de manera significativa el precio o monto de la contraprestación, éstas deberán eliminarse en virtud de ajustes razonables que permitan un mayor grado de comparabilidad.</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A los fines de la eliminación de las diferencias resultantes de la aplicación de los criterios de comparabilidad, deben tenerse en cuenta, entre otros, los siguientes elementos:</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I. Plazo de pago.</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II. Cantidades negociadas.</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III. Propaganda y publicidad.</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IV. Costo de intermediación.</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V. Acondicionamiento, flete y seguro.</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VI. Naturaleza física y de contenido.</w:t>
      </w:r>
    </w:p>
    <w:p w:rsidR="005E4B5F" w:rsidRPr="005E4B5F" w:rsidRDefault="005E4B5F" w:rsidP="005E4B5F">
      <w:pPr>
        <w:shd w:val="clear" w:color="auto" w:fill="FFFFFF"/>
        <w:spacing w:before="120" w:after="180" w:line="276" w:lineRule="auto"/>
        <w:ind w:left="300"/>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VII. Diferencias de fecha de celebración de las transacciones.</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Los factores de comparabilidad y los elementos a considerar para definir los criterios y efectuar los ajustes de las diferencias resultantes, se desarrollaran en el Reglamento de Aplicación del presente Código.</w:t>
      </w:r>
    </w:p>
    <w:p w:rsidR="005E4B5F" w:rsidRPr="005E4B5F" w:rsidRDefault="005E4B5F" w:rsidP="005E4B5F">
      <w:pPr>
        <w:shd w:val="clear" w:color="auto" w:fill="FFFFFF"/>
        <w:spacing w:before="120" w:after="18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sz w:val="24"/>
          <w:szCs w:val="24"/>
          <w:lang w:eastAsia="es-SV"/>
        </w:rPr>
        <w:t>Las operaciones con sujetos domiciliados, constituidos o ubicados en países, estados o territorios con regímenes fiscales preferentes, de baja o nula tributación o paraísos fiscales, no constituyen operaciones entre partes independientes.</w:t>
      </w: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Informe de Operaciones con Sujetos Relacionados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124-A.</w:t>
      </w:r>
      <w:r w:rsidRPr="005E4B5F">
        <w:rPr>
          <w:rFonts w:ascii="Arial Narrow" w:eastAsia="Times New Roman" w:hAnsi="Arial Narrow" w:cs="Arial"/>
          <w:bCs/>
          <w:sz w:val="24"/>
          <w:szCs w:val="24"/>
          <w:lang w:eastAsia="es-SV"/>
        </w:rPr>
        <w:t> </w:t>
      </w:r>
      <w:r w:rsidRPr="005E4B5F">
        <w:rPr>
          <w:rFonts w:ascii="Arial Narrow" w:eastAsia="Times New Roman" w:hAnsi="Arial Narrow" w:cs="Arial"/>
          <w:sz w:val="24"/>
          <w:szCs w:val="24"/>
          <w:lang w:eastAsia="es-SV"/>
        </w:rPr>
        <w:t>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($571,429.00), deberán presentar un Informe de las operaciones que ejecute con dichos sujetos, a través de los formularios que proporcione la Administración Tributaria con los requisitos y especificaciones técnicas que ésta disponga para tal efecto. La presentación del Informe deberá realizarse a más tardar dentro de los tres primeros meses siguientes de finalizado el ejercicio fiscal.</w:t>
      </w:r>
    </w:p>
    <w:p w:rsidR="005E4B5F" w:rsidRDefault="005E4B5F" w:rsidP="005E4B5F">
      <w:pPr>
        <w:shd w:val="clear" w:color="auto" w:fill="FFFFFF"/>
        <w:spacing w:after="0" w:line="276" w:lineRule="auto"/>
        <w:jc w:val="both"/>
        <w:rPr>
          <w:rFonts w:ascii="Arial Narrow" w:eastAsia="Times New Roman" w:hAnsi="Arial Narrow" w:cs="Arial"/>
          <w:bCs/>
          <w:sz w:val="24"/>
          <w:szCs w:val="24"/>
          <w:lang w:eastAsia="es-SV"/>
        </w:rPr>
      </w:pP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Revelación en Dictamen Fiscal</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135</w:t>
      </w:r>
      <w:r w:rsidRPr="005E4B5F">
        <w:rPr>
          <w:rFonts w:ascii="Arial Narrow" w:eastAsia="Times New Roman" w:hAnsi="Arial Narrow" w:cs="Arial"/>
          <w:bCs/>
          <w:sz w:val="24"/>
          <w:szCs w:val="24"/>
          <w:lang w:eastAsia="es-SV"/>
        </w:rPr>
        <w:t>.- </w:t>
      </w:r>
      <w:r w:rsidRPr="005E4B5F">
        <w:rPr>
          <w:rFonts w:ascii="Arial Narrow" w:eastAsia="Times New Roman" w:hAnsi="Arial Narrow" w:cs="Arial"/>
          <w:sz w:val="24"/>
          <w:szCs w:val="24"/>
          <w:lang w:eastAsia="es-SV"/>
        </w:rPr>
        <w:t>Los Auditores deberán cumplir con las siguientes obligaciones: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f)</w:t>
      </w:r>
      <w:r w:rsidRPr="005E4B5F">
        <w:rPr>
          <w:rFonts w:ascii="Arial Narrow" w:eastAsia="Times New Roman" w:hAnsi="Arial Narrow" w:cs="Arial"/>
          <w:sz w:val="24"/>
          <w:szCs w:val="24"/>
          <w:lang w:eastAsia="es-SV"/>
        </w:rPr>
        <w:t xml:space="preserve"> 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w:t>
      </w:r>
      <w:r w:rsidRPr="005E4B5F">
        <w:rPr>
          <w:rFonts w:ascii="Arial Narrow" w:eastAsia="Times New Roman" w:hAnsi="Arial Narrow" w:cs="Arial"/>
          <w:sz w:val="24"/>
          <w:szCs w:val="24"/>
          <w:lang w:eastAsia="es-SV"/>
        </w:rPr>
        <w:lastRenderedPageBreak/>
        <w:t>preferentes, de baja o nula tributación o paraísos fiscales cumplen con las leyes tributarias y el presente Código.</w:t>
      </w:r>
    </w:p>
    <w:p w:rsidR="005E4B5F" w:rsidRPr="005E4B5F" w:rsidRDefault="005E4B5F" w:rsidP="005E4B5F">
      <w:pPr>
        <w:shd w:val="clear" w:color="auto" w:fill="FFFFFF"/>
        <w:spacing w:after="0" w:line="276" w:lineRule="auto"/>
        <w:jc w:val="both"/>
        <w:rPr>
          <w:rFonts w:ascii="Arial Narrow" w:eastAsia="Times New Roman" w:hAnsi="Arial Narrow" w:cs="Arial"/>
          <w:b/>
          <w:bCs/>
          <w:sz w:val="24"/>
          <w:szCs w:val="24"/>
          <w:lang w:eastAsia="es-SV"/>
        </w:rPr>
      </w:pPr>
    </w:p>
    <w:p w:rsidR="005E4B5F" w:rsidRPr="005E4B5F" w:rsidRDefault="005E4B5F" w:rsidP="005E4B5F">
      <w:pPr>
        <w:shd w:val="clear" w:color="auto" w:fill="FFFFFF"/>
        <w:spacing w:after="0" w:line="276" w:lineRule="auto"/>
        <w:jc w:val="both"/>
        <w:rPr>
          <w:rFonts w:ascii="Arial Narrow" w:eastAsia="Times New Roman" w:hAnsi="Arial Narrow" w:cs="Arial"/>
          <w:b/>
          <w:sz w:val="24"/>
          <w:szCs w:val="24"/>
          <w:lang w:eastAsia="es-SV"/>
        </w:rPr>
      </w:pPr>
      <w:r w:rsidRPr="005E4B5F">
        <w:rPr>
          <w:rFonts w:ascii="Arial Narrow" w:eastAsia="Times New Roman" w:hAnsi="Arial Narrow" w:cs="Arial"/>
          <w:b/>
          <w:bCs/>
          <w:sz w:val="24"/>
          <w:szCs w:val="24"/>
          <w:lang w:eastAsia="es-SV"/>
        </w:rPr>
        <w:t>Conservación de la Información</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
          <w:bCs/>
          <w:sz w:val="24"/>
          <w:szCs w:val="24"/>
          <w:lang w:eastAsia="es-SV"/>
        </w:rPr>
        <w:t>Artículo 147</w:t>
      </w:r>
      <w:r w:rsidRPr="005E4B5F">
        <w:rPr>
          <w:rFonts w:ascii="Arial Narrow" w:eastAsia="Times New Roman" w:hAnsi="Arial Narrow" w:cs="Arial"/>
          <w:bCs/>
          <w:sz w:val="24"/>
          <w:szCs w:val="24"/>
          <w:lang w:eastAsia="es-SV"/>
        </w:rPr>
        <w:t>.- </w:t>
      </w:r>
      <w:r w:rsidRPr="005E4B5F">
        <w:rPr>
          <w:rFonts w:ascii="Arial Narrow" w:eastAsia="Times New Roman" w:hAnsi="Arial Narrow" w:cs="Arial"/>
          <w:sz w:val="24"/>
          <w:szCs w:val="24"/>
          <w:lang w:eastAsia="es-SV"/>
        </w:rPr>
        <w:t>Las personas o entidades, tengan o no el carácter de contribuyentes, responsables, agentes de retención o percepción, auditores o contadores, deberán conservar en buen orden y estado, por un período de diez años contados a partir de su emisión o recibo, la siguiente documentación, información y pruebas: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e)</w:t>
      </w:r>
      <w:r w:rsidRPr="005E4B5F">
        <w:rPr>
          <w:rFonts w:ascii="Arial Narrow" w:eastAsia="Times New Roman" w:hAnsi="Arial Narrow" w:cs="Arial"/>
          <w:sz w:val="24"/>
          <w:szCs w:val="24"/>
          <w:lang w:eastAsia="es-SV"/>
        </w:rPr>
        <w:t> La documentación de las operaciones realizadas con sujetos relacionados o sujetos domiciliados, constituidos o ubicados en países, estados o territorios con regímenes fiscales preferentes, de baja o nula tributación o paraísos fiscales.</w:t>
      </w:r>
    </w:p>
    <w:p w:rsidR="005E4B5F" w:rsidRPr="005E4B5F" w:rsidRDefault="005E4B5F" w:rsidP="005E4B5F">
      <w:pPr>
        <w:shd w:val="clear" w:color="auto" w:fill="FFFFFF"/>
        <w:spacing w:after="0" w:line="276" w:lineRule="auto"/>
        <w:jc w:val="both"/>
        <w:rPr>
          <w:rFonts w:ascii="Arial Narrow" w:eastAsia="Times New Roman" w:hAnsi="Arial Narrow" w:cs="Arial"/>
          <w:sz w:val="24"/>
          <w:szCs w:val="24"/>
          <w:lang w:eastAsia="es-SV"/>
        </w:rPr>
      </w:pPr>
      <w:r w:rsidRPr="005E4B5F">
        <w:rPr>
          <w:rFonts w:ascii="Arial Narrow" w:eastAsia="Times New Roman" w:hAnsi="Arial Narrow" w:cs="Arial"/>
          <w:bCs/>
          <w:sz w:val="24"/>
          <w:szCs w:val="24"/>
          <w:lang w:eastAsia="es-SV"/>
        </w:rPr>
        <w:t>e)</w:t>
      </w:r>
      <w:r w:rsidRPr="005E4B5F">
        <w:rPr>
          <w:rFonts w:ascii="Arial Narrow" w:eastAsia="Times New Roman" w:hAnsi="Arial Narrow" w:cs="Arial"/>
          <w:sz w:val="24"/>
          <w:szCs w:val="24"/>
          <w:lang w:eastAsia="es-SV"/>
        </w:rPr>
        <w:t> La documentación de las operaciones realizadas con sujetos relacionados o sujetos domiciliados, constituidos o ubicados en países, estados o territorios con regímenes fiscales preferentes, de baja o nula tributación o paraísos fiscales.</w:t>
      </w:r>
    </w:p>
    <w:p w:rsidR="003F7326" w:rsidRPr="005E4B5F" w:rsidRDefault="00021226" w:rsidP="005E4B5F">
      <w:pPr>
        <w:spacing w:line="276" w:lineRule="auto"/>
        <w:jc w:val="both"/>
        <w:rPr>
          <w:rFonts w:ascii="Arial Narrow" w:hAnsi="Arial Narrow"/>
          <w:sz w:val="24"/>
          <w:szCs w:val="24"/>
        </w:rPr>
      </w:pPr>
    </w:p>
    <w:sectPr w:rsidR="003F7326" w:rsidRPr="005E4B5F">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226" w:rsidRDefault="00021226" w:rsidP="005E4B5F">
      <w:pPr>
        <w:spacing w:after="0" w:line="240" w:lineRule="auto"/>
      </w:pPr>
      <w:r>
        <w:separator/>
      </w:r>
    </w:p>
  </w:endnote>
  <w:endnote w:type="continuationSeparator" w:id="0">
    <w:p w:rsidR="00021226" w:rsidRDefault="00021226" w:rsidP="005E4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226" w:rsidRDefault="00021226" w:rsidP="005E4B5F">
      <w:pPr>
        <w:spacing w:after="0" w:line="240" w:lineRule="auto"/>
      </w:pPr>
      <w:r>
        <w:separator/>
      </w:r>
    </w:p>
  </w:footnote>
  <w:footnote w:type="continuationSeparator" w:id="0">
    <w:p w:rsidR="00021226" w:rsidRDefault="00021226" w:rsidP="005E4B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B5F" w:rsidRPr="005E4B5F" w:rsidRDefault="005E4B5F">
    <w:pPr>
      <w:pStyle w:val="Encabezado"/>
      <w:rPr>
        <w:rFonts w:ascii="Times New Roman" w:hAnsi="Times New Roman" w:cs="Times New Roman"/>
        <w:sz w:val="24"/>
        <w:szCs w:val="24"/>
      </w:rPr>
    </w:pPr>
    <w:r w:rsidRPr="005E4B5F">
      <w:rPr>
        <w:rFonts w:ascii="Times New Roman" w:hAnsi="Times New Roman" w:cs="Times New Roman"/>
        <w:sz w:val="24"/>
        <w:szCs w:val="24"/>
      </w:rPr>
      <w:t xml:space="preserve">Oscar Francisco Pérez Morán,  OperezGT04,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B5F"/>
    <w:rsid w:val="00021226"/>
    <w:rsid w:val="00502425"/>
    <w:rsid w:val="005E4B5F"/>
    <w:rsid w:val="00B475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5E4B5F"/>
    <w:pPr>
      <w:spacing w:before="100" w:beforeAutospacing="1" w:after="100" w:afterAutospacing="1" w:line="240" w:lineRule="auto"/>
      <w:outlineLvl w:val="1"/>
    </w:pPr>
    <w:rPr>
      <w:rFonts w:ascii="Times New Roman" w:eastAsia="Times New Roman" w:hAnsi="Times New Roman" w:cs="Times New Roman"/>
      <w:b/>
      <w:bCs/>
      <w:sz w:val="36"/>
      <w:szCs w:val="36"/>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E4B5F"/>
    <w:rPr>
      <w:rFonts w:ascii="Times New Roman" w:eastAsia="Times New Roman" w:hAnsi="Times New Roman" w:cs="Times New Roman"/>
      <w:b/>
      <w:bCs/>
      <w:sz w:val="36"/>
      <w:szCs w:val="36"/>
      <w:lang w:eastAsia="es-SV"/>
    </w:rPr>
  </w:style>
  <w:style w:type="paragraph" w:styleId="NormalWeb">
    <w:name w:val="Normal (Web)"/>
    <w:basedOn w:val="Normal"/>
    <w:uiPriority w:val="99"/>
    <w:semiHidden/>
    <w:unhideWhenUsed/>
    <w:rsid w:val="005E4B5F"/>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Textoennegrita">
    <w:name w:val="Strong"/>
    <w:basedOn w:val="Fuentedeprrafopredeter"/>
    <w:uiPriority w:val="22"/>
    <w:qFormat/>
    <w:rsid w:val="005E4B5F"/>
    <w:rPr>
      <w:b/>
      <w:bCs/>
    </w:rPr>
  </w:style>
  <w:style w:type="character" w:customStyle="1" w:styleId="apple-converted-space">
    <w:name w:val="apple-converted-space"/>
    <w:basedOn w:val="Fuentedeprrafopredeter"/>
    <w:rsid w:val="005E4B5F"/>
  </w:style>
  <w:style w:type="character" w:styleId="Hipervnculo">
    <w:name w:val="Hyperlink"/>
    <w:basedOn w:val="Fuentedeprrafopredeter"/>
    <w:uiPriority w:val="99"/>
    <w:semiHidden/>
    <w:unhideWhenUsed/>
    <w:rsid w:val="005E4B5F"/>
    <w:rPr>
      <w:color w:val="0000FF"/>
      <w:u w:val="single"/>
    </w:rPr>
  </w:style>
  <w:style w:type="paragraph" w:styleId="Encabezado">
    <w:name w:val="header"/>
    <w:basedOn w:val="Normal"/>
    <w:link w:val="EncabezadoCar"/>
    <w:uiPriority w:val="99"/>
    <w:unhideWhenUsed/>
    <w:rsid w:val="005E4B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E4B5F"/>
  </w:style>
  <w:style w:type="paragraph" w:styleId="Piedepgina">
    <w:name w:val="footer"/>
    <w:basedOn w:val="Normal"/>
    <w:link w:val="PiedepginaCar"/>
    <w:uiPriority w:val="99"/>
    <w:unhideWhenUsed/>
    <w:rsid w:val="005E4B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4B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link w:val="Ttulo2Car"/>
    <w:uiPriority w:val="9"/>
    <w:qFormat/>
    <w:rsid w:val="005E4B5F"/>
    <w:pPr>
      <w:spacing w:before="100" w:beforeAutospacing="1" w:after="100" w:afterAutospacing="1" w:line="240" w:lineRule="auto"/>
      <w:outlineLvl w:val="1"/>
    </w:pPr>
    <w:rPr>
      <w:rFonts w:ascii="Times New Roman" w:eastAsia="Times New Roman" w:hAnsi="Times New Roman" w:cs="Times New Roman"/>
      <w:b/>
      <w:bCs/>
      <w:sz w:val="36"/>
      <w:szCs w:val="36"/>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5E4B5F"/>
    <w:rPr>
      <w:rFonts w:ascii="Times New Roman" w:eastAsia="Times New Roman" w:hAnsi="Times New Roman" w:cs="Times New Roman"/>
      <w:b/>
      <w:bCs/>
      <w:sz w:val="36"/>
      <w:szCs w:val="36"/>
      <w:lang w:eastAsia="es-SV"/>
    </w:rPr>
  </w:style>
  <w:style w:type="paragraph" w:styleId="NormalWeb">
    <w:name w:val="Normal (Web)"/>
    <w:basedOn w:val="Normal"/>
    <w:uiPriority w:val="99"/>
    <w:semiHidden/>
    <w:unhideWhenUsed/>
    <w:rsid w:val="005E4B5F"/>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Textoennegrita">
    <w:name w:val="Strong"/>
    <w:basedOn w:val="Fuentedeprrafopredeter"/>
    <w:uiPriority w:val="22"/>
    <w:qFormat/>
    <w:rsid w:val="005E4B5F"/>
    <w:rPr>
      <w:b/>
      <w:bCs/>
    </w:rPr>
  </w:style>
  <w:style w:type="character" w:customStyle="1" w:styleId="apple-converted-space">
    <w:name w:val="apple-converted-space"/>
    <w:basedOn w:val="Fuentedeprrafopredeter"/>
    <w:rsid w:val="005E4B5F"/>
  </w:style>
  <w:style w:type="character" w:styleId="Hipervnculo">
    <w:name w:val="Hyperlink"/>
    <w:basedOn w:val="Fuentedeprrafopredeter"/>
    <w:uiPriority w:val="99"/>
    <w:semiHidden/>
    <w:unhideWhenUsed/>
    <w:rsid w:val="005E4B5F"/>
    <w:rPr>
      <w:color w:val="0000FF"/>
      <w:u w:val="single"/>
    </w:rPr>
  </w:style>
  <w:style w:type="paragraph" w:styleId="Encabezado">
    <w:name w:val="header"/>
    <w:basedOn w:val="Normal"/>
    <w:link w:val="EncabezadoCar"/>
    <w:uiPriority w:val="99"/>
    <w:unhideWhenUsed/>
    <w:rsid w:val="005E4B5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E4B5F"/>
  </w:style>
  <w:style w:type="paragraph" w:styleId="Piedepgina">
    <w:name w:val="footer"/>
    <w:basedOn w:val="Normal"/>
    <w:link w:val="PiedepginaCar"/>
    <w:uiPriority w:val="99"/>
    <w:unhideWhenUsed/>
    <w:rsid w:val="005E4B5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E4B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956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tf-gafi.org/" TargetMode="External"/><Relationship Id="rId3" Type="http://schemas.openxmlformats.org/officeDocument/2006/relationships/settings" Target="settings.xml"/><Relationship Id="rId7" Type="http://schemas.openxmlformats.org/officeDocument/2006/relationships/hyperlink" Target="http://www.oecd.or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mh.gob.sv/"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2181</Words>
  <Characters>12001</Characters>
  <Application>Microsoft Office Word</Application>
  <DocSecurity>0</DocSecurity>
  <Lines>100</Lines>
  <Paragraphs>28</Paragraphs>
  <ScaleCrop>false</ScaleCrop>
  <Company>Hewlett-Packard</Company>
  <LinksUpToDate>false</LinksUpToDate>
  <CharactersWithSpaces>14154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Fran</cp:lastModifiedBy>
  <cp:revision>1</cp:revision>
  <dcterms:created xsi:type="dcterms:W3CDTF">2013-10-28T02:39:00Z</dcterms:created>
  <dcterms:modified xsi:type="dcterms:W3CDTF">2013-10-28T02:53:00Z</dcterms:modified>
</cp:coreProperties>
</file>