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7F3" w:rsidRPr="00B147F3" w:rsidRDefault="00B147F3" w:rsidP="00B147F3">
      <w:pPr>
        <w:jc w:val="right"/>
        <w:rPr>
          <w:b/>
          <w:u w:val="single"/>
        </w:rPr>
      </w:pPr>
      <w:r w:rsidRPr="00B147F3">
        <w:t>Melisa Liliana Soliz González</w:t>
      </w:r>
      <w:r>
        <w:t xml:space="preserve">     </w:t>
      </w:r>
      <w:r w:rsidRPr="00B147F3">
        <w:t xml:space="preserve"> </w:t>
      </w:r>
      <w:r w:rsidRPr="00B147F3">
        <w:rPr>
          <w:b/>
          <w:u w:val="single"/>
        </w:rPr>
        <w:t>Usuario:</w:t>
      </w:r>
      <w:r w:rsidRPr="00B147F3">
        <w:t xml:space="preserve"> MsolizGT04</w:t>
      </w:r>
    </w:p>
    <w:p w:rsidR="000C77A4" w:rsidRPr="00B147F3" w:rsidRDefault="000C77A4" w:rsidP="00B147F3">
      <w:pPr>
        <w:jc w:val="center"/>
        <w:rPr>
          <w:b/>
          <w:sz w:val="32"/>
          <w:szCs w:val="32"/>
          <w:u w:val="single"/>
        </w:rPr>
      </w:pPr>
      <w:r w:rsidRPr="00B147F3">
        <w:rPr>
          <w:b/>
          <w:sz w:val="32"/>
          <w:szCs w:val="32"/>
          <w:u w:val="single"/>
        </w:rPr>
        <w:t>Resumen de Precios de Transferencia.</w:t>
      </w:r>
    </w:p>
    <w:p w:rsidR="006C061F" w:rsidRDefault="000C77A4" w:rsidP="00B147F3">
      <w:pPr>
        <w:jc w:val="both"/>
        <w:rPr>
          <w:sz w:val="24"/>
          <w:szCs w:val="24"/>
        </w:rPr>
      </w:pPr>
      <w:r w:rsidRPr="000C77A4">
        <w:rPr>
          <w:sz w:val="24"/>
          <w:szCs w:val="24"/>
        </w:rPr>
        <w:t xml:space="preserve">El </w:t>
      </w:r>
      <w:r w:rsidRPr="000C77A4">
        <w:rPr>
          <w:b/>
          <w:bCs/>
          <w:sz w:val="24"/>
          <w:szCs w:val="24"/>
        </w:rPr>
        <w:t>precio de transferencia</w:t>
      </w:r>
      <w:r w:rsidRPr="000C77A4">
        <w:rPr>
          <w:sz w:val="24"/>
          <w:szCs w:val="24"/>
        </w:rPr>
        <w:t xml:space="preserve"> es el precio que pactan dos </w:t>
      </w:r>
      <w:hyperlink r:id="rId4" w:tooltip="Empresa" w:history="1">
        <w:r w:rsidRPr="000C77A4">
          <w:rPr>
            <w:rStyle w:val="Hipervnculo"/>
            <w:color w:val="auto"/>
            <w:sz w:val="24"/>
            <w:szCs w:val="24"/>
            <w:u w:val="none"/>
          </w:rPr>
          <w:t>empresas</w:t>
        </w:r>
      </w:hyperlink>
      <w:r w:rsidRPr="000C77A4">
        <w:rPr>
          <w:sz w:val="24"/>
          <w:szCs w:val="24"/>
        </w:rPr>
        <w:t xml:space="preserve"> para transferir, entre ellas, bienes, servicios o derechos. Este precio es relevante, en el ámbito tributario, cuando las entidades que pactan el precio tienen vínculos de propiedad o de administración entre sí, (entidades "relacionadas") lo que podría facilitar que la fijación del precio no se realice en las mismas condiciones que hubiesen sido utilizadas por entidades que no mantengan estos vínculos ("terceros" o "independientes"). En dicho caso, si la fijación del precio difiere del que se hubiese formado en un mercado abierto, competitivo y sin restricciones, implica que el precio permitiría distribuir beneficios entre empresas relacionadas de una manera que podría ser artificialmente favorable a alguna de las entidades. Esto es, una empresa podría vender a otra más caro o más barato, que el precio que debería formarse en un mercado de </w:t>
      </w:r>
      <w:hyperlink r:id="rId5" w:tooltip="Plena competencia (aún no redactado)" w:history="1">
        <w:r w:rsidRPr="000C77A4">
          <w:rPr>
            <w:rStyle w:val="Hipervnculo"/>
            <w:color w:val="auto"/>
            <w:sz w:val="24"/>
            <w:szCs w:val="24"/>
            <w:u w:val="none"/>
          </w:rPr>
          <w:t>plena competencia</w:t>
        </w:r>
      </w:hyperlink>
      <w:r w:rsidRPr="000C77A4">
        <w:rPr>
          <w:sz w:val="24"/>
          <w:szCs w:val="24"/>
        </w:rPr>
        <w:t>, dependiendo de la locación en la cual un Grupo empresarial tuviese intención estratégica de acumular utilidades, lo cual podría afectar los intereses de recaudación de una determinada administración tributaria.</w:t>
      </w:r>
    </w:p>
    <w:p w:rsidR="0008515F" w:rsidRDefault="00B147F3" w:rsidP="00B147F3">
      <w:pPr>
        <w:jc w:val="both"/>
        <w:rPr>
          <w:b/>
          <w:sz w:val="24"/>
          <w:szCs w:val="24"/>
          <w:u w:val="single"/>
        </w:rPr>
      </w:pPr>
      <w:r w:rsidRPr="00B147F3">
        <w:rPr>
          <w:sz w:val="24"/>
          <w:szCs w:val="24"/>
        </w:rPr>
        <w:t xml:space="preserve">El </w:t>
      </w:r>
      <w:r w:rsidRPr="00B147F3">
        <w:rPr>
          <w:b/>
          <w:bCs/>
          <w:sz w:val="24"/>
          <w:szCs w:val="24"/>
        </w:rPr>
        <w:t>precio de transferencia</w:t>
      </w:r>
      <w:r w:rsidRPr="00B147F3">
        <w:rPr>
          <w:sz w:val="24"/>
          <w:szCs w:val="24"/>
        </w:rPr>
        <w:t xml:space="preserve"> es el precio que pactan dos </w:t>
      </w:r>
      <w:hyperlink r:id="rId6" w:tooltip="Empresa" w:history="1">
        <w:r w:rsidRPr="00B147F3">
          <w:rPr>
            <w:rStyle w:val="Hipervnculo"/>
            <w:color w:val="auto"/>
            <w:sz w:val="24"/>
            <w:szCs w:val="24"/>
            <w:u w:val="none"/>
          </w:rPr>
          <w:t>empresas</w:t>
        </w:r>
      </w:hyperlink>
      <w:r w:rsidRPr="00B147F3">
        <w:rPr>
          <w:sz w:val="24"/>
          <w:szCs w:val="24"/>
        </w:rPr>
        <w:t xml:space="preserve"> para transferir, entre ellas, bienes, servicios o derechos. Este precio es relevante, en el ámbito tributario, cuando las entidades que pactan el precio tienen vínculos de propiedad o de administración entre sí, (entidades "relacionadas") lo que podría facilitar que la fijación del precio no se realice en las mismas condiciones que hubiesen sido utilizadas por entidades que no mantengan estos vínculos ("terceros" o "independientes"). En dicho caso, si la fijación del precio difiere del que se hubiese formado en un mercado abierto, competitivo y sin restricciones, implica que el precio permitiría distribuir beneficios entre empresas relacionadas de una manera que podría ser artificialmente favorable a alguna de las entidades. Esto es, una empresa podría vender a otra más caro o más barato, que el precio que debería formarse en un mercado de </w:t>
      </w:r>
      <w:hyperlink r:id="rId7" w:tooltip="Plena competencia (aún no redactado)" w:history="1">
        <w:r w:rsidRPr="00B147F3">
          <w:rPr>
            <w:rStyle w:val="Hipervnculo"/>
            <w:color w:val="auto"/>
            <w:sz w:val="24"/>
            <w:szCs w:val="24"/>
            <w:u w:val="none"/>
          </w:rPr>
          <w:t>plena competencia</w:t>
        </w:r>
      </w:hyperlink>
      <w:r w:rsidRPr="00B147F3">
        <w:rPr>
          <w:sz w:val="24"/>
          <w:szCs w:val="24"/>
        </w:rPr>
        <w:t>, dependiendo de la locación en la cual un Grupo empresarial tuviese intención estratégica de acumular utilidades, lo cual podría afectar los intereses de recaudación de una determinada administración tributaria.</w:t>
      </w:r>
      <w:r>
        <w:rPr>
          <w:sz w:val="24"/>
          <w:szCs w:val="24"/>
        </w:rPr>
        <w:t xml:space="preserve"> </w:t>
      </w:r>
      <w:r w:rsidRPr="00B147F3">
        <w:rPr>
          <w:sz w:val="24"/>
          <w:szCs w:val="24"/>
        </w:rPr>
        <w:t xml:space="preserve">El intercambio de todos estos bienes y servicios entre empresas de un mismo grupo multinacional, ha dado origen a la problemática de determinar el </w:t>
      </w:r>
      <w:r w:rsidRPr="00B147F3">
        <w:rPr>
          <w:b/>
          <w:sz w:val="24"/>
          <w:szCs w:val="24"/>
          <w:u w:val="single"/>
        </w:rPr>
        <w:t>precio óptimo de transferencia fijado entre las mismas.</w:t>
      </w:r>
      <w:r>
        <w:rPr>
          <w:b/>
          <w:sz w:val="24"/>
          <w:szCs w:val="24"/>
          <w:u w:val="single"/>
        </w:rPr>
        <w:t xml:space="preserve"> </w:t>
      </w:r>
    </w:p>
    <w:p w:rsidR="00B147F3" w:rsidRDefault="00B147F3" w:rsidP="00B147F3">
      <w:pPr>
        <w:jc w:val="both"/>
        <w:rPr>
          <w:sz w:val="24"/>
          <w:szCs w:val="24"/>
        </w:rPr>
      </w:pPr>
      <w:r>
        <w:rPr>
          <w:sz w:val="24"/>
          <w:szCs w:val="24"/>
        </w:rPr>
        <w:t>En la legislación nacional se definen de la siguiente manera precios de transferencia y libre competencia:</w:t>
      </w:r>
    </w:p>
    <w:p w:rsidR="00B147F3" w:rsidRDefault="00B147F3" w:rsidP="00B147F3">
      <w:pPr>
        <w:jc w:val="both"/>
        <w:rPr>
          <w:sz w:val="24"/>
          <w:szCs w:val="24"/>
        </w:rPr>
      </w:pPr>
    </w:p>
    <w:p w:rsidR="00B147F3" w:rsidRPr="00B147F3" w:rsidRDefault="00B147F3" w:rsidP="00B147F3">
      <w:pPr>
        <w:jc w:val="both"/>
        <w:rPr>
          <w:b/>
          <w:sz w:val="24"/>
          <w:szCs w:val="24"/>
        </w:rPr>
      </w:pPr>
      <w:r w:rsidRPr="00B147F3">
        <w:rPr>
          <w:b/>
          <w:sz w:val="24"/>
          <w:szCs w:val="24"/>
        </w:rPr>
        <w:lastRenderedPageBreak/>
        <w:t>Precio de Transferencia</w:t>
      </w:r>
      <w:r>
        <w:rPr>
          <w:b/>
          <w:sz w:val="24"/>
          <w:szCs w:val="24"/>
        </w:rPr>
        <w:t xml:space="preserve">: </w:t>
      </w:r>
      <w:r w:rsidRPr="00B147F3">
        <w:rPr>
          <w:sz w:val="24"/>
          <w:szCs w:val="24"/>
        </w:rPr>
        <w:t>“El precio pactado en la transferencia de bienes tangibles o intangibles, prestación de servicios, o cualquier otra operación realizada entre entidades o sujetos relacionados”.</w:t>
      </w:r>
    </w:p>
    <w:p w:rsidR="00B147F3" w:rsidRDefault="00B147F3" w:rsidP="00B147F3">
      <w:pPr>
        <w:jc w:val="both"/>
        <w:rPr>
          <w:sz w:val="24"/>
          <w:szCs w:val="24"/>
        </w:rPr>
      </w:pPr>
      <w:r w:rsidRPr="00B147F3">
        <w:rPr>
          <w:b/>
          <w:sz w:val="24"/>
          <w:szCs w:val="24"/>
        </w:rPr>
        <w:t>Principio de Libre Competencia</w:t>
      </w:r>
      <w:r>
        <w:rPr>
          <w:b/>
          <w:sz w:val="24"/>
          <w:szCs w:val="24"/>
        </w:rPr>
        <w:t xml:space="preserve">: </w:t>
      </w:r>
      <w:r w:rsidRPr="00B147F3">
        <w:rPr>
          <w:sz w:val="24"/>
          <w:szCs w:val="24"/>
        </w:rPr>
        <w:t>Este principio considera que “el precio, la utilidad o beneficio que se obtenga en una transacción entre entidades o sujetos relacionados (Operación vinculada) debe ser el precio, utilidad o beneficio que se hubiera obtenido en una transacción comparable entre entidades o sujetos independientes (Operación no Vinculada)”.</w:t>
      </w:r>
    </w:p>
    <w:p w:rsidR="00B147F3" w:rsidRPr="00B147F3" w:rsidRDefault="00B147F3" w:rsidP="00B147F3">
      <w:pPr>
        <w:jc w:val="both"/>
        <w:rPr>
          <w:sz w:val="24"/>
          <w:szCs w:val="24"/>
        </w:rPr>
      </w:pPr>
      <w:r w:rsidRPr="00B147F3">
        <w:rPr>
          <w:sz w:val="24"/>
          <w:szCs w:val="24"/>
        </w:rPr>
        <w:t>Los precios de transferencia pueden visualizarse bajo dos enfoques:</w:t>
      </w:r>
    </w:p>
    <w:p w:rsidR="00B147F3" w:rsidRPr="00B147F3" w:rsidRDefault="00B147F3" w:rsidP="00B147F3">
      <w:pPr>
        <w:jc w:val="both"/>
        <w:rPr>
          <w:sz w:val="24"/>
          <w:szCs w:val="24"/>
        </w:rPr>
      </w:pPr>
      <w:r w:rsidRPr="00B147F3">
        <w:rPr>
          <w:sz w:val="24"/>
          <w:szCs w:val="24"/>
        </w:rPr>
        <w:t>1.</w:t>
      </w:r>
      <w:r w:rsidR="006259A5">
        <w:rPr>
          <w:sz w:val="24"/>
          <w:szCs w:val="24"/>
        </w:rPr>
        <w:t xml:space="preserve"> </w:t>
      </w:r>
      <w:r w:rsidRPr="00B147F3">
        <w:rPr>
          <w:sz w:val="24"/>
          <w:szCs w:val="24"/>
        </w:rPr>
        <w:t xml:space="preserve">Para los grandes grupos multinacionales el objetivo es buscar territorios, jurisdicciones o países en donde puedan cumplir sus obligaciones fiscales con tasas reducidas, con bases gravables sumamente limitadas y de ser posible, con la </w:t>
      </w:r>
      <w:proofErr w:type="spellStart"/>
      <w:proofErr w:type="gramStart"/>
      <w:r w:rsidRPr="00B147F3">
        <w:rPr>
          <w:sz w:val="24"/>
          <w:szCs w:val="24"/>
        </w:rPr>
        <w:t>mas</w:t>
      </w:r>
      <w:proofErr w:type="spellEnd"/>
      <w:proofErr w:type="gramEnd"/>
      <w:r w:rsidRPr="00B147F3">
        <w:rPr>
          <w:sz w:val="24"/>
          <w:szCs w:val="24"/>
        </w:rPr>
        <w:t xml:space="preserve"> baja precisión fiscal, optimizando así sus utilidades.</w:t>
      </w:r>
    </w:p>
    <w:p w:rsidR="00B147F3" w:rsidRDefault="00B147F3" w:rsidP="00B147F3">
      <w:pPr>
        <w:jc w:val="both"/>
        <w:rPr>
          <w:sz w:val="24"/>
          <w:szCs w:val="24"/>
        </w:rPr>
      </w:pPr>
      <w:r w:rsidRPr="00B147F3">
        <w:rPr>
          <w:sz w:val="24"/>
          <w:szCs w:val="24"/>
        </w:rPr>
        <w:t>2.</w:t>
      </w:r>
      <w:r w:rsidR="006259A5">
        <w:rPr>
          <w:sz w:val="24"/>
          <w:szCs w:val="24"/>
        </w:rPr>
        <w:t xml:space="preserve"> </w:t>
      </w:r>
      <w:r w:rsidRPr="00B147F3">
        <w:rPr>
          <w:sz w:val="24"/>
          <w:szCs w:val="24"/>
        </w:rPr>
        <w:t>Por su cuenta las administraciones tributarias de cada uno de los países del mundo desean gravar la riqueza generada por los sujetos que se encuentran bajo su soberanía fiscal con el objeto que paguen el impuesto que hubiera correspondido, en operaciones realizadas en un mercado abierto, fuera de cualquier manipulación posible</w:t>
      </w:r>
      <w:r w:rsidR="002125D5">
        <w:rPr>
          <w:sz w:val="24"/>
          <w:szCs w:val="24"/>
        </w:rPr>
        <w:t>.</w:t>
      </w:r>
    </w:p>
    <w:p w:rsidR="002125D5" w:rsidRDefault="002125D5" w:rsidP="00B147F3">
      <w:pPr>
        <w:jc w:val="both"/>
        <w:rPr>
          <w:sz w:val="24"/>
          <w:szCs w:val="24"/>
        </w:rPr>
      </w:pPr>
      <w:r>
        <w:rPr>
          <w:sz w:val="24"/>
          <w:szCs w:val="24"/>
        </w:rPr>
        <w:t xml:space="preserve">En la legislación salvadoreña, encontramos regulados los precios de transferencia en el </w:t>
      </w:r>
      <w:r w:rsidRPr="002125D5">
        <w:rPr>
          <w:sz w:val="24"/>
          <w:szCs w:val="24"/>
        </w:rPr>
        <w:t>Artículo 62-A del C.T. Para efectos tributarios, los contribuyentes que celebren operaciones o transacciones con sujetos relacionados, estarán obligados a determinar los precios y montos de las contraprestaciones, considerando para esas operaciones los precios de mercado utilizados en transferencias de bienes o prestación de servicios de la misma especie, entre sujetos independientes. Igualmente los contribuyentes deberán determinar a precios de mercado las operaciones o transacciones que se celebren con sujetos domiciliados, constituidos o ubicados en países, estados o territorios con regímenes fiscales preferentes, de baja o nula tributación o paraísos fiscales.</w:t>
      </w:r>
      <w:r>
        <w:rPr>
          <w:sz w:val="24"/>
          <w:szCs w:val="24"/>
        </w:rPr>
        <w:t xml:space="preserve"> La </w:t>
      </w:r>
      <w:r w:rsidRPr="002125D5">
        <w:rPr>
          <w:sz w:val="24"/>
          <w:szCs w:val="24"/>
        </w:rPr>
        <w:t xml:space="preserve">Estimación de la Base Imponible </w:t>
      </w:r>
      <w:r>
        <w:rPr>
          <w:sz w:val="24"/>
          <w:szCs w:val="24"/>
        </w:rPr>
        <w:t xml:space="preserve">en el </w:t>
      </w:r>
      <w:r w:rsidRPr="002125D5">
        <w:rPr>
          <w:sz w:val="24"/>
          <w:szCs w:val="24"/>
        </w:rPr>
        <w:t>Artículo 199-A del C.T.</w:t>
      </w:r>
      <w:r w:rsidR="00AF696E">
        <w:rPr>
          <w:sz w:val="24"/>
          <w:szCs w:val="24"/>
        </w:rPr>
        <w:t xml:space="preserve"> y en el Art. 199-C los sujetos relacionados. </w:t>
      </w:r>
    </w:p>
    <w:p w:rsidR="00AF696E" w:rsidRDefault="00AF696E" w:rsidP="00B147F3">
      <w:pPr>
        <w:jc w:val="both"/>
        <w:rPr>
          <w:sz w:val="24"/>
          <w:szCs w:val="24"/>
        </w:rPr>
      </w:pPr>
      <w:r w:rsidRPr="00AF696E">
        <w:rPr>
          <w:b/>
          <w:sz w:val="24"/>
          <w:szCs w:val="24"/>
        </w:rPr>
        <w:t>Países, estados o territorios de baja tributación:</w:t>
      </w:r>
      <w:r>
        <w:rPr>
          <w:sz w:val="24"/>
          <w:szCs w:val="24"/>
        </w:rPr>
        <w:t xml:space="preserve"> </w:t>
      </w:r>
      <w:r w:rsidRPr="00AF696E">
        <w:rPr>
          <w:sz w:val="24"/>
          <w:szCs w:val="24"/>
        </w:rPr>
        <w:t>Son aquellos que aplican en su legislación tributaria una tasa de Impuesto sobre la Renta más favorable respecto de las rentas generadas por sujetos no domiciliados, diferente de la tasa aplicable a sujetos domiciliados; o gravan con dicho Impuesto, ya sea que se calcule sobre ingresos brutos o sobre renta neta o imponible, a una tasa inferior al 80% del Impuesto sobre la Renta que se causaría y pagaría en la República de El Salvador, a cualquier clase de sujetos pasivos, ya sean domiciliados o no.</w:t>
      </w:r>
    </w:p>
    <w:p w:rsidR="00AF696E" w:rsidRPr="00AF696E" w:rsidRDefault="00AF696E" w:rsidP="00B147F3">
      <w:pPr>
        <w:jc w:val="both"/>
        <w:rPr>
          <w:sz w:val="24"/>
          <w:szCs w:val="24"/>
        </w:rPr>
      </w:pPr>
      <w:r w:rsidRPr="00AF696E">
        <w:rPr>
          <w:b/>
          <w:sz w:val="24"/>
          <w:szCs w:val="24"/>
        </w:rPr>
        <w:lastRenderedPageBreak/>
        <w:t xml:space="preserve">Países, estados o territorios de nula tributación: </w:t>
      </w:r>
      <w:r w:rsidRPr="00AF696E">
        <w:rPr>
          <w:sz w:val="24"/>
          <w:szCs w:val="24"/>
        </w:rPr>
        <w:t>Son aquellos que se caracterizan por no contar dentro sus legislaciones tributarias con un Impuesto sobre la Renta o tributo general de similar naturaleza; o si aun teniendo regulación al respecto, conceden u ofrecen a sujetos no domiciliados, un tratamiento fiscal en el que brindan exención total respecto de las rentas o utilidades que dichos sujetos generen por los capitales que inviertan en el mismo.</w:t>
      </w:r>
    </w:p>
    <w:p w:rsidR="00AF696E" w:rsidRDefault="00AF696E" w:rsidP="00B147F3">
      <w:pPr>
        <w:jc w:val="both"/>
        <w:rPr>
          <w:sz w:val="24"/>
          <w:szCs w:val="24"/>
        </w:rPr>
      </w:pPr>
      <w:r w:rsidRPr="00AF696E">
        <w:rPr>
          <w:b/>
          <w:sz w:val="24"/>
          <w:szCs w:val="24"/>
        </w:rPr>
        <w:t>Paraísos fiscales de acuerdo a Organismos Internacionales</w:t>
      </w:r>
      <w:r>
        <w:rPr>
          <w:b/>
          <w:sz w:val="24"/>
          <w:szCs w:val="24"/>
        </w:rPr>
        <w:t xml:space="preserve">: </w:t>
      </w:r>
      <w:r w:rsidRPr="00AF696E">
        <w:rPr>
          <w:sz w:val="24"/>
          <w:szCs w:val="24"/>
        </w:rPr>
        <w:t>Son</w:t>
      </w:r>
      <w:r w:rsidRPr="00AF696E">
        <w:rPr>
          <w:b/>
          <w:sz w:val="24"/>
          <w:szCs w:val="24"/>
        </w:rPr>
        <w:t xml:space="preserve"> </w:t>
      </w:r>
      <w:r w:rsidRPr="00AF696E">
        <w:rPr>
          <w:sz w:val="24"/>
          <w:szCs w:val="24"/>
        </w:rPr>
        <w:t>aquellos que poseen un tratamiento diferenciado respecto de los impuestos de carácter directo a imputar, en relación a las rentas generadas por los sujetos domiciliados y no domiciliados, caracterizándose por la escasa o nula tributación a que someten a estos últimos; de igual forma presentan prácticas administrativas que limitan la transparencia y el intercambio de información con otros países.</w:t>
      </w:r>
    </w:p>
    <w:p w:rsidR="00BA233D" w:rsidRDefault="00BA233D" w:rsidP="00B147F3">
      <w:pPr>
        <w:jc w:val="both"/>
        <w:rPr>
          <w:sz w:val="24"/>
          <w:szCs w:val="24"/>
        </w:rPr>
      </w:pPr>
    </w:p>
    <w:p w:rsidR="00BA233D" w:rsidRDefault="00BA233D" w:rsidP="00BA233D">
      <w:pPr>
        <w:spacing w:after="0"/>
        <w:jc w:val="both"/>
        <w:rPr>
          <w:sz w:val="24"/>
          <w:szCs w:val="24"/>
        </w:rPr>
      </w:pPr>
      <w:r w:rsidRPr="00BA233D">
        <w:rPr>
          <w:b/>
          <w:sz w:val="24"/>
          <w:szCs w:val="24"/>
        </w:rPr>
        <w:t>Precio de Mercado</w:t>
      </w:r>
      <w:r w:rsidRPr="00BA233D">
        <w:rPr>
          <w:sz w:val="24"/>
          <w:szCs w:val="24"/>
        </w:rPr>
        <w:t xml:space="preserve"> Artículo 199-B del C.T. </w:t>
      </w:r>
    </w:p>
    <w:p w:rsidR="00BA233D" w:rsidRPr="00AF696E" w:rsidRDefault="00BA233D" w:rsidP="00BA233D">
      <w:pPr>
        <w:spacing w:after="0"/>
        <w:jc w:val="both"/>
        <w:rPr>
          <w:sz w:val="24"/>
          <w:szCs w:val="24"/>
        </w:rPr>
      </w:pPr>
      <w:r w:rsidRPr="00BA233D">
        <w:rPr>
          <w:sz w:val="24"/>
          <w:szCs w:val="24"/>
        </w:rPr>
        <w:t>Para efectos de lo dispuesto en el artículo anterior se entenderá por precio de mercado en las operaciones locales, el precio de venta que tengan los bienes o servicios, en negocios o establecimientos ubicados en el país no relacionados con el fiscalizado, que transfieran bienes o presten servicios de la misma especie.</w:t>
      </w:r>
    </w:p>
    <w:sectPr w:rsidR="00BA233D" w:rsidRPr="00AF696E" w:rsidSect="000227C6">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C77A4"/>
    <w:rsid w:val="000227C6"/>
    <w:rsid w:val="0008515F"/>
    <w:rsid w:val="000C77A4"/>
    <w:rsid w:val="002125D5"/>
    <w:rsid w:val="0025102F"/>
    <w:rsid w:val="00307559"/>
    <w:rsid w:val="006259A5"/>
    <w:rsid w:val="00AF696E"/>
    <w:rsid w:val="00B147F3"/>
    <w:rsid w:val="00BA233D"/>
  </w:rsids>
  <m:mathPr>
    <m:mathFont m:val="Cambria Math"/>
    <m:brkBin m:val="before"/>
    <m:brkBinSub m:val="--"/>
    <m:smallFrac m:val="off"/>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27C6"/>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0C77A4"/>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es.wikipedia.org/w/index.php?title=Plena_competencia&amp;action=edit&amp;redlink=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s.wikipedia.org/wiki/Empresa" TargetMode="External"/><Relationship Id="rId5" Type="http://schemas.openxmlformats.org/officeDocument/2006/relationships/hyperlink" Target="http://es.wikipedia.org/w/index.php?title=Plena_competencia&amp;action=edit&amp;redlink=1" TargetMode="External"/><Relationship Id="rId4" Type="http://schemas.openxmlformats.org/officeDocument/2006/relationships/hyperlink" Target="http://es.wikipedia.org/wiki/Empresa" TargetMode="Externa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3</Pages>
  <Words>1088</Words>
  <Characters>5987</Characters>
  <Application>Microsoft Office Word</Application>
  <DocSecurity>0</DocSecurity>
  <Lines>49</Lines>
  <Paragraphs>14</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7061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compaq</dc:creator>
  <cp:lastModifiedBy>compaq</cp:lastModifiedBy>
  <cp:revision>5</cp:revision>
  <dcterms:created xsi:type="dcterms:W3CDTF">2013-10-27T20:11:00Z</dcterms:created>
  <dcterms:modified xsi:type="dcterms:W3CDTF">2013-10-27T20:52:00Z</dcterms:modified>
</cp:coreProperties>
</file>