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E35" w:rsidRPr="00AD4A64" w:rsidRDefault="004C3E35" w:rsidP="00AD4A64">
      <w:pPr>
        <w:spacing w:line="276" w:lineRule="auto"/>
        <w:jc w:val="center"/>
        <w:rPr>
          <w:rFonts w:cs="Times New Roman"/>
          <w:b/>
          <w:sz w:val="24"/>
          <w:szCs w:val="24"/>
        </w:rPr>
      </w:pPr>
      <w:r w:rsidRPr="00AD4A64">
        <w:rPr>
          <w:rFonts w:cs="Times New Roman"/>
          <w:b/>
          <w:sz w:val="24"/>
          <w:szCs w:val="24"/>
        </w:rPr>
        <w:t xml:space="preserve">Control de Lectura 5 </w:t>
      </w:r>
      <w:bookmarkStart w:id="0" w:name="_GoBack"/>
      <w:bookmarkEnd w:id="0"/>
      <w:r w:rsidRPr="00AD4A64">
        <w:rPr>
          <w:rFonts w:cs="Times New Roman"/>
          <w:b/>
          <w:sz w:val="24"/>
          <w:szCs w:val="24"/>
        </w:rPr>
        <w:t>– Ley de Impuesto sobre la Renta</w:t>
      </w:r>
    </w:p>
    <w:p w:rsidR="004C3E35" w:rsidRPr="00AD4A64" w:rsidRDefault="004C3E35" w:rsidP="00AD4A64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AD4A64">
        <w:rPr>
          <w:rFonts w:cs="Times New Roman"/>
          <w:b/>
          <w:sz w:val="24"/>
          <w:szCs w:val="24"/>
        </w:rPr>
        <w:t xml:space="preserve">Materia: Seminario de Auditoria   </w:t>
      </w:r>
      <w:r w:rsidRPr="00AD4A64">
        <w:rPr>
          <w:rFonts w:cs="Times New Roman"/>
          <w:b/>
          <w:sz w:val="24"/>
          <w:szCs w:val="24"/>
        </w:rPr>
        <w:tab/>
      </w:r>
      <w:r w:rsidRPr="00AD4A64">
        <w:rPr>
          <w:rFonts w:cs="Times New Roman"/>
          <w:b/>
          <w:sz w:val="24"/>
          <w:szCs w:val="24"/>
        </w:rPr>
        <w:tab/>
        <w:t>Catedrático: Lic. Javier Miranda</w:t>
      </w:r>
    </w:p>
    <w:p w:rsidR="004C3E35" w:rsidRDefault="004C3E35" w:rsidP="00AD4A64">
      <w:pPr>
        <w:spacing w:line="276" w:lineRule="auto"/>
        <w:jc w:val="both"/>
        <w:rPr>
          <w:rFonts w:cs="Times New Roman"/>
          <w:b/>
          <w:sz w:val="24"/>
          <w:szCs w:val="24"/>
        </w:rPr>
      </w:pPr>
      <w:r w:rsidRPr="00AD4A64">
        <w:rPr>
          <w:rFonts w:cs="Times New Roman"/>
          <w:b/>
          <w:sz w:val="24"/>
          <w:szCs w:val="24"/>
        </w:rPr>
        <w:t xml:space="preserve">Alumna: Melisa Liliana Soliz González </w:t>
      </w:r>
      <w:r w:rsidRPr="00AD4A64">
        <w:rPr>
          <w:rFonts w:cs="Times New Roman"/>
          <w:b/>
          <w:sz w:val="24"/>
          <w:szCs w:val="24"/>
        </w:rPr>
        <w:tab/>
        <w:t>Carné: SG09036   Usuario: MsolizGT04</w:t>
      </w:r>
    </w:p>
    <w:p w:rsidR="00AD4A64" w:rsidRDefault="00AD4A64" w:rsidP="00AD4A64">
      <w:pPr>
        <w:spacing w:line="276" w:lineRule="auto"/>
        <w:jc w:val="both"/>
        <w:rPr>
          <w:rFonts w:cs="Times New Roman"/>
          <w:b/>
          <w:sz w:val="24"/>
          <w:szCs w:val="24"/>
        </w:rPr>
      </w:pPr>
    </w:p>
    <w:p w:rsidR="00AD4A64" w:rsidRPr="00AD4A64" w:rsidRDefault="00AD4A64" w:rsidP="00AD4A64">
      <w:pPr>
        <w:spacing w:line="276" w:lineRule="auto"/>
        <w:jc w:val="both"/>
        <w:rPr>
          <w:rFonts w:cs="Times New Roman"/>
          <w:b/>
          <w:sz w:val="24"/>
          <w:szCs w:val="24"/>
          <w:u w:val="single"/>
        </w:rPr>
      </w:pPr>
      <w:r w:rsidRPr="00AD4A64">
        <w:rPr>
          <w:rFonts w:cs="Times New Roman"/>
          <w:b/>
          <w:sz w:val="24"/>
          <w:szCs w:val="24"/>
          <w:u w:val="single"/>
        </w:rPr>
        <w:t>Rentas Gravadas.</w:t>
      </w:r>
    </w:p>
    <w:p w:rsidR="006C061F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a) Del trabajo, ya sean salarios, sueldos, honorarios, comisiones y toda clase de</w:t>
      </w:r>
      <w:r w:rsidRPr="00AD4A64"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remuneraciones o compensaciones por servicios personales;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AD4A64">
        <w:rPr>
          <w:sz w:val="24"/>
          <w:szCs w:val="24"/>
        </w:rPr>
        <w:t>La obtención de rentas por los sujetos pasivos en el ejercicio o período de imposición de que se trate, genera la obligación de pago del impuesto establecido en esta Ley.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AD4A64">
        <w:rPr>
          <w:sz w:val="24"/>
          <w:szCs w:val="24"/>
        </w:rPr>
        <w:t>Se entiende por renta obtenida, todos los productos o utilidades percibidas o devengados por los sujetos pasivos, ya sea en efectivo o en especie y provenientes de cualquier clase de fuente, tales como: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a) Del trabajo, ya sean salarios, sueldos, honorarios, comisiones y toda clase de remuneraciones o compensaciones por servicios personales;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b) De la actividad empresarial, ya sea comercial, agrícola, industrial, de servicio y de cualquier otra naturaleza;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c) Del capital tales como: alquileres, intereses, dividendos o participaciones; y,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d) Toda clase de productos, ganancias, beneficios o utilidades, cualquiera que sea su origen.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AD4A64">
        <w:rPr>
          <w:sz w:val="24"/>
          <w:szCs w:val="24"/>
        </w:rPr>
        <w:t>Son Rentas no gravables por este impuesto, y en consecuencia quedan excluidas del cómputo de la renta obtenida: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1) Las que por Decreto Legislativo o las provenientes de contratos aprobados por el Órgano Legislativo mediante decreto, sean declaradas no gravables;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2) Las remuneraciones, compensaciones y gastos de representación percibidos en el desempeño de sus funciones por los diplomáticos, agentes consulares y demás representantes oficiales de países extranjeros que, con la debida autorización, residan en la República, temporal o permanentemente, todo a condición de reciprocidad;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3) Las indemnizaciones que en forma de capital o renta se perciben por causa de muerte, incapacidad, accidente o enfermedad, y que sean otorgadas por vía judicial o por convenio privado.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Pr="00AD4A64">
        <w:rPr>
          <w:sz w:val="24"/>
          <w:szCs w:val="24"/>
        </w:rPr>
        <w:t>Son sujetos pasivos o contribuyentes y, por lo tanto obligados al pago del impuesto sobre la renta, aquéllos que realizan el supuesto establecido en el artículo 1 de esta ley, ya se trate: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a) De personas naturales o jurídicas domiciliadas o no;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b) De las sucesiones y los fideicomisos domiciliados o no en el país; y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c) De los artistas, deportistas o similares domiciliados o no en el país, sea que se presenten individualmente como personas naturales o bien agrupados en conjuntos.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Son sujetos pasivos o contribuyentes y, por lo tanto obligados al pago del impuesto sobre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la renta, aquéllos que realizan el supuesto establecido en el artículo 1 de esta ley, ya se trate: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a) de personas naturales o jurídicas domiciliadas o no;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b) de las sucesiones y los fideicomisos domiciliados o no en el país;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c) de los artistas, deportistas o similares domiciliados o no en el país, sea que se presenten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individualmente como personas naturales o bien agrupados en conjuntos;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y,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d) LAS SOCIEDADES IRREGULARES O DE HECHO Y LA UNIÓN DE PERSONAS.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b/>
          <w:sz w:val="24"/>
          <w:szCs w:val="24"/>
        </w:rPr>
        <w:t>La renta obtenida</w:t>
      </w:r>
      <w:r w:rsidRPr="00AD4A64">
        <w:rPr>
          <w:sz w:val="24"/>
          <w:szCs w:val="24"/>
        </w:rPr>
        <w:t xml:space="preserve"> se determinará sumando los productos o utilidades totales de las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distintas fuentes de renta del sujeto pasivo.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Para los efectos del cálculo del impuesto: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a) La renta obtenida se computará por períodos de doce meses, que se denominarán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ejercicios de imposición.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Las personas naturales y jurídicas, tendrán un ejercicio de imposición que comenzará el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primero de enero y terminará el treinta y uno de diciembre.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b) Cuando el sujeto obligado dejare de existir o se retirare definitivamente del país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terminando sus actividades económicas en el, antes de finalizar el ejercicio de imposición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correspondiente, se deberá liquidar el impuesto sobre la renta que corresponda a la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obtenida en dicho período;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c) La renta se presume obtenida a la medianoche del día en que termine el ejercicio o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período de imposición correspondiente;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d) Cada ejercicio o período de imposición se liquidará de manera independiente del que le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precede y del que le siga, a fin de que los resultados de ganancias o de pérdidas no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lastRenderedPageBreak/>
        <w:t>puedan afectarse por eventos anteriores o posteriores en los negocios o actividades del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contribuyente, salvo las excepciones legales.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Ganancia de Capital: </w:t>
      </w:r>
      <w:r w:rsidRPr="00AD4A64">
        <w:rPr>
          <w:sz w:val="24"/>
          <w:szCs w:val="24"/>
        </w:rPr>
        <w:t>La ganancia obtenida por una persona natural o jurídica que no se dedique habitualmente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a la compraventa, permuta u otra forma de negociaciones sobre bienes muebles o inmuebles, constituye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ganancia de capital y se gravará de acuerdo con las siguientes reglas: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1) En cada transacción la ganancia o pérdida de capital se determinará deduciendo del valor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de la transacción, el costo básico del bien, el importe de las mejoras efectuadas para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conservar su valor y el de los gastos necesarios para efectuar la transacción. Cuando el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valor de la transacción, sea mayor que las deducciones, habrá ganancia de capital. Si las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deducciones son mayores que el valor de la transacción, habrá pérdida de capital. Se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considerarán mejoras todas aquellas refacciones, ampliaciones y otras inversiones que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prolonguen apreciablemente la vida del bien, impliquen una ampliación de la constitución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primitiva del mismo o eleven su valor, siempre que dichas inversiones no hayan sido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admitidas como gastos de producción de su renta o de conservación de su fuente;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 xml:space="preserve">2) </w:t>
      </w:r>
      <w:r w:rsidRPr="00AD4A64">
        <w:rPr>
          <w:sz w:val="24"/>
          <w:szCs w:val="24"/>
        </w:rPr>
        <w:t>la pérdida de capital proveniente de las transacciones a que se refiere</w:t>
      </w:r>
      <w:r>
        <w:rPr>
          <w:sz w:val="24"/>
          <w:szCs w:val="24"/>
        </w:rPr>
        <w:t xml:space="preserve"> e</w:t>
      </w:r>
      <w:r w:rsidRPr="00AD4A64">
        <w:rPr>
          <w:sz w:val="24"/>
          <w:szCs w:val="24"/>
        </w:rPr>
        <w:t>l inciso primero de este artículo será deducible de la ganancia de capital.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Si la ganancia excede a la pérdida, el excedente, o sea la ganancia neta de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Capital, se gravará con el impuesto de acuerdo con el artículo 42 de esta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Ley. En caso de que la pérdida exceda a la ganancia, el saldo podrá ser</w:t>
      </w:r>
      <w:r>
        <w:rPr>
          <w:sz w:val="24"/>
          <w:szCs w:val="24"/>
        </w:rPr>
        <w:t xml:space="preserve"> u</w:t>
      </w:r>
      <w:r w:rsidRPr="00AD4A64">
        <w:rPr>
          <w:sz w:val="24"/>
          <w:szCs w:val="24"/>
        </w:rPr>
        <w:t>sado dentro de los cinco años siguientes contra futuras ganancias de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Capital, siempre que se declare en el formulario que para tal efecto</w:t>
      </w:r>
      <w:r>
        <w:rPr>
          <w:sz w:val="24"/>
          <w:szCs w:val="24"/>
        </w:rPr>
        <w:t xml:space="preserve"> p</w:t>
      </w:r>
      <w:r w:rsidRPr="00AD4A64">
        <w:rPr>
          <w:sz w:val="24"/>
          <w:szCs w:val="24"/>
        </w:rPr>
        <w:t>roporcione la administración tributaria. En ningún caso será deducible</w:t>
      </w:r>
      <w:r>
        <w:rPr>
          <w:sz w:val="24"/>
          <w:szCs w:val="24"/>
        </w:rPr>
        <w:t xml:space="preserve"> d</w:t>
      </w:r>
      <w:r w:rsidRPr="00AD4A64">
        <w:rPr>
          <w:sz w:val="24"/>
          <w:szCs w:val="24"/>
        </w:rPr>
        <w:t>e la ganancia de capital, las pérdidas de capital provenientes de</w:t>
      </w:r>
      <w:r>
        <w:rPr>
          <w:sz w:val="24"/>
          <w:szCs w:val="24"/>
        </w:rPr>
        <w:t xml:space="preserve"> o</w:t>
      </w:r>
      <w:r w:rsidRPr="00AD4A64">
        <w:rPr>
          <w:sz w:val="24"/>
          <w:szCs w:val="24"/>
        </w:rPr>
        <w:t xml:space="preserve">peraciones distintas a </w:t>
      </w:r>
      <w:proofErr w:type="gramStart"/>
      <w:r w:rsidRPr="00AD4A64">
        <w:rPr>
          <w:sz w:val="24"/>
          <w:szCs w:val="24"/>
        </w:rPr>
        <w:t>la reguladas</w:t>
      </w:r>
      <w:proofErr w:type="gramEnd"/>
      <w:r w:rsidRPr="00AD4A64">
        <w:rPr>
          <w:sz w:val="24"/>
          <w:szCs w:val="24"/>
        </w:rPr>
        <w:t xml:space="preserve"> en este artículo; (14)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3) El costo básico de los bienes muebles e inmuebles se determinará en el caso de que sea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adquirido a título oneroso deduciendo del costo de adquisición las depreciaciones que se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hayan realizado y admitido de acuerdo con la ley.</w:t>
      </w:r>
    </w:p>
    <w:p w:rsid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El costo básico de los bienes adquiridos por donación o herencia será el costo básico del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donante o causante.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El impuesto sobre la renta a pagar por la ganancia neta de capital de una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o varias transacciones determinada conforme el artículo 14 de esta ley, será el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equivalente al diez por ciento (10%) de dichas ganancias, salvo cuando el bien se realice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dentro de los doce meses siguientes a la fecha de su adquisición, en cuyo caso la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ganancia neta de capital deberá sumarse a la renta neta imponible ordinaria y calcularse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 xml:space="preserve">el impuesto como renta </w:t>
      </w:r>
      <w:r w:rsidRPr="00AD4A64">
        <w:rPr>
          <w:sz w:val="24"/>
          <w:szCs w:val="24"/>
        </w:rPr>
        <w:lastRenderedPageBreak/>
        <w:t>ordinaria, adjuntándose a la declaración de impuesto sobre la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renta del ejercicio de imposición respectivo, el formulario de cálculo de la ganancia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de capital.</w:t>
      </w:r>
    </w:p>
    <w:p w:rsidR="00AD4A64" w:rsidRPr="00AD4A64" w:rsidRDefault="00AD4A64" w:rsidP="00AD4A64">
      <w:pPr>
        <w:spacing w:line="276" w:lineRule="auto"/>
        <w:jc w:val="both"/>
        <w:rPr>
          <w:sz w:val="24"/>
          <w:szCs w:val="24"/>
        </w:rPr>
      </w:pPr>
      <w:r w:rsidRPr="00AD4A64">
        <w:rPr>
          <w:sz w:val="24"/>
          <w:szCs w:val="24"/>
        </w:rPr>
        <w:t>En caso que exista saldo de pérdida de capital de ejercicios o períodos de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imposición anteriores, que no se hubiere aplicado a ganancias de capital, podrá restarse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a la ganancia neta de capital calculada en el ejercicio o período de imposición actual,</w:t>
      </w:r>
      <w:r>
        <w:rPr>
          <w:sz w:val="24"/>
          <w:szCs w:val="24"/>
        </w:rPr>
        <w:t xml:space="preserve"> </w:t>
      </w:r>
      <w:r w:rsidRPr="00AD4A64">
        <w:rPr>
          <w:sz w:val="24"/>
          <w:szCs w:val="24"/>
        </w:rPr>
        <w:t>el resultado positivo será sujeto al impuesto referido en el inciso anterior.</w:t>
      </w:r>
    </w:p>
    <w:sectPr w:rsidR="00AD4A64" w:rsidRPr="00AD4A64" w:rsidSect="00B409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C3E35"/>
    <w:rsid w:val="0025102F"/>
    <w:rsid w:val="00307559"/>
    <w:rsid w:val="004C3E35"/>
    <w:rsid w:val="00AD4A64"/>
    <w:rsid w:val="00B4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3E35"/>
    <w:pPr>
      <w:spacing w:after="160"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1103</Words>
  <Characters>6072</Characters>
  <Application>Microsoft Office Word</Application>
  <DocSecurity>0</DocSecurity>
  <Lines>50</Lines>
  <Paragraphs>14</Paragraphs>
  <ScaleCrop>false</ScaleCrop>
  <Company>Hewlett-Packard</Company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2013-10-11T19:58:00Z</dcterms:created>
  <dcterms:modified xsi:type="dcterms:W3CDTF">2013-10-11T20:48:00Z</dcterms:modified>
</cp:coreProperties>
</file>