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5DA" w:rsidRPr="00CC15DA" w:rsidRDefault="00CC15DA" w:rsidP="00B2533B">
      <w:pPr>
        <w:spacing w:line="276" w:lineRule="auto"/>
        <w:jc w:val="center"/>
        <w:rPr>
          <w:rFonts w:cs="Times New Roman"/>
          <w:b/>
          <w:sz w:val="24"/>
          <w:szCs w:val="24"/>
        </w:rPr>
      </w:pPr>
      <w:r w:rsidRPr="00CC15DA">
        <w:rPr>
          <w:rFonts w:cs="Times New Roman"/>
          <w:b/>
          <w:sz w:val="24"/>
          <w:szCs w:val="24"/>
        </w:rPr>
        <w:t xml:space="preserve">Control de Lectura 4 </w:t>
      </w:r>
      <w:bookmarkStart w:id="0" w:name="_GoBack"/>
      <w:bookmarkEnd w:id="0"/>
      <w:r w:rsidRPr="00CC15DA">
        <w:rPr>
          <w:rFonts w:cs="Times New Roman"/>
          <w:b/>
          <w:sz w:val="24"/>
          <w:szCs w:val="24"/>
        </w:rPr>
        <w:t>– Código Tributario</w:t>
      </w:r>
    </w:p>
    <w:p w:rsidR="00CC15DA" w:rsidRPr="00CC15DA" w:rsidRDefault="00CC15DA" w:rsidP="00B2533B">
      <w:pPr>
        <w:spacing w:line="276" w:lineRule="auto"/>
        <w:jc w:val="both"/>
        <w:rPr>
          <w:rFonts w:cs="Times New Roman"/>
          <w:b/>
          <w:sz w:val="24"/>
          <w:szCs w:val="24"/>
        </w:rPr>
      </w:pPr>
      <w:r w:rsidRPr="00CC15DA">
        <w:rPr>
          <w:rFonts w:cs="Times New Roman"/>
          <w:b/>
          <w:sz w:val="24"/>
          <w:szCs w:val="24"/>
        </w:rPr>
        <w:t xml:space="preserve">Materia: Seminario de Auditoria   </w:t>
      </w:r>
      <w:r w:rsidRPr="00CC15DA">
        <w:rPr>
          <w:rFonts w:cs="Times New Roman"/>
          <w:b/>
          <w:sz w:val="24"/>
          <w:szCs w:val="24"/>
        </w:rPr>
        <w:tab/>
      </w:r>
      <w:r w:rsidRPr="00CC15DA">
        <w:rPr>
          <w:rFonts w:cs="Times New Roman"/>
          <w:b/>
          <w:sz w:val="24"/>
          <w:szCs w:val="24"/>
        </w:rPr>
        <w:tab/>
        <w:t>Catedrático: Lic. Javier Miranda</w:t>
      </w:r>
    </w:p>
    <w:p w:rsidR="00CC15DA" w:rsidRPr="00CC15DA" w:rsidRDefault="00CC15DA" w:rsidP="00B2533B">
      <w:pPr>
        <w:spacing w:line="276" w:lineRule="auto"/>
        <w:jc w:val="both"/>
        <w:rPr>
          <w:rFonts w:cs="Times New Roman"/>
          <w:b/>
          <w:sz w:val="24"/>
          <w:szCs w:val="24"/>
        </w:rPr>
      </w:pPr>
      <w:r w:rsidRPr="00CC15DA">
        <w:rPr>
          <w:rFonts w:cs="Times New Roman"/>
          <w:b/>
          <w:sz w:val="24"/>
          <w:szCs w:val="24"/>
        </w:rPr>
        <w:t xml:space="preserve">Alumna: Melisa Liliana Soliz González </w:t>
      </w:r>
      <w:r w:rsidRPr="00CC15DA">
        <w:rPr>
          <w:rFonts w:cs="Times New Roman"/>
          <w:b/>
          <w:sz w:val="24"/>
          <w:szCs w:val="24"/>
        </w:rPr>
        <w:tab/>
        <w:t>Carné: SG09036   Usuario: MsolizGT04</w:t>
      </w:r>
    </w:p>
    <w:p w:rsidR="00B2533B" w:rsidRDefault="00B2533B" w:rsidP="00B2533B">
      <w:pPr>
        <w:spacing w:line="276" w:lineRule="auto"/>
        <w:jc w:val="both"/>
        <w:rPr>
          <w:b/>
          <w:sz w:val="24"/>
          <w:szCs w:val="24"/>
          <w:u w:val="single"/>
        </w:rPr>
      </w:pPr>
    </w:p>
    <w:p w:rsidR="00CC15DA" w:rsidRPr="00B2533B" w:rsidRDefault="00B2533B" w:rsidP="00B2533B">
      <w:pPr>
        <w:spacing w:line="276" w:lineRule="auto"/>
        <w:jc w:val="both"/>
        <w:rPr>
          <w:b/>
          <w:sz w:val="24"/>
          <w:szCs w:val="24"/>
          <w:u w:val="single"/>
        </w:rPr>
      </w:pPr>
      <w:r w:rsidRPr="00B2533B">
        <w:rPr>
          <w:b/>
          <w:sz w:val="24"/>
          <w:szCs w:val="24"/>
          <w:u w:val="single"/>
        </w:rPr>
        <w:t>GENERALIDADES.</w:t>
      </w:r>
    </w:p>
    <w:p w:rsidR="00CC15DA" w:rsidRPr="00B2533B" w:rsidRDefault="00CC15DA" w:rsidP="00B2533B">
      <w:pPr>
        <w:spacing w:line="276" w:lineRule="auto"/>
        <w:jc w:val="both"/>
        <w:rPr>
          <w:sz w:val="24"/>
          <w:szCs w:val="24"/>
        </w:rPr>
      </w:pPr>
      <w:r w:rsidRPr="00CC15DA">
        <w:rPr>
          <w:sz w:val="24"/>
          <w:szCs w:val="24"/>
        </w:rPr>
        <w:t xml:space="preserve">El Código Tributario </w:t>
      </w:r>
      <w:r w:rsidRPr="00CC15DA">
        <w:rPr>
          <w:sz w:val="24"/>
          <w:szCs w:val="24"/>
        </w:rPr>
        <w:t>contiene los principios y normas jurídicas, aplicables a todos los</w:t>
      </w:r>
      <w:r>
        <w:rPr>
          <w:sz w:val="24"/>
          <w:szCs w:val="24"/>
        </w:rPr>
        <w:t xml:space="preserve"> </w:t>
      </w:r>
      <w:r w:rsidRPr="00CC15DA">
        <w:rPr>
          <w:sz w:val="24"/>
          <w:szCs w:val="24"/>
        </w:rPr>
        <w:t>tributos internos bajo la competencia de la Administración Tributaria.</w:t>
      </w:r>
      <w:r w:rsidR="00B2533B">
        <w:rPr>
          <w:sz w:val="24"/>
          <w:szCs w:val="24"/>
        </w:rPr>
        <w:t xml:space="preserve"> Se aplica</w:t>
      </w:r>
      <w:r w:rsidR="00B2533B" w:rsidRPr="00B2533B">
        <w:rPr>
          <w:sz w:val="24"/>
          <w:szCs w:val="24"/>
        </w:rPr>
        <w:t xml:space="preserve"> a </w:t>
      </w:r>
      <w:r w:rsidR="00B2533B" w:rsidRPr="00B2533B">
        <w:rPr>
          <w:sz w:val="24"/>
          <w:szCs w:val="24"/>
        </w:rPr>
        <w:t>la relación jurídica tributaria</w:t>
      </w:r>
      <w:r w:rsidR="00B2533B" w:rsidRPr="00B2533B">
        <w:rPr>
          <w:sz w:val="24"/>
          <w:szCs w:val="24"/>
        </w:rPr>
        <w:t xml:space="preserve"> que se originen de los tributos</w:t>
      </w:r>
      <w:r w:rsidR="00B2533B">
        <w:rPr>
          <w:sz w:val="24"/>
          <w:szCs w:val="24"/>
        </w:rPr>
        <w:t xml:space="preserve"> </w:t>
      </w:r>
      <w:r w:rsidR="00B2533B" w:rsidRPr="00B2533B">
        <w:rPr>
          <w:sz w:val="24"/>
          <w:szCs w:val="24"/>
        </w:rPr>
        <w:t>establecidos por el Estado, con excepción de las relaciones tributarias establecidas en las legislaciones</w:t>
      </w:r>
      <w:r w:rsidR="00B2533B" w:rsidRPr="00B2533B">
        <w:rPr>
          <w:sz w:val="24"/>
          <w:szCs w:val="24"/>
        </w:rPr>
        <w:t xml:space="preserve"> </w:t>
      </w:r>
      <w:r w:rsidR="00B2533B" w:rsidRPr="00B2533B">
        <w:rPr>
          <w:sz w:val="24"/>
          <w:szCs w:val="24"/>
        </w:rPr>
        <w:t>aduaneras y municipales.</w:t>
      </w:r>
    </w:p>
    <w:p w:rsidR="00B2533B" w:rsidRDefault="00B2533B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B2533B">
        <w:rPr>
          <w:rFonts w:cs="Tahoma"/>
          <w:sz w:val="24"/>
          <w:szCs w:val="24"/>
        </w:rPr>
        <w:t>Las actuaciones de la Administración Tributaria se ajustarán a los siguientes principios</w:t>
      </w:r>
      <w:r>
        <w:rPr>
          <w:rFonts w:cs="Tahoma"/>
          <w:sz w:val="24"/>
          <w:szCs w:val="24"/>
        </w:rPr>
        <w:t xml:space="preserve"> </w:t>
      </w:r>
      <w:r w:rsidRPr="00B2533B">
        <w:rPr>
          <w:rFonts w:cs="Tahoma"/>
          <w:sz w:val="24"/>
          <w:szCs w:val="24"/>
        </w:rPr>
        <w:t>generales:</w:t>
      </w:r>
      <w:r>
        <w:rPr>
          <w:rFonts w:cs="Tahoma"/>
          <w:sz w:val="24"/>
          <w:szCs w:val="24"/>
        </w:rPr>
        <w:t xml:space="preserve"> </w:t>
      </w:r>
      <w:r w:rsidRPr="00B2533B">
        <w:rPr>
          <w:rFonts w:cs="Tahoma"/>
          <w:sz w:val="24"/>
          <w:szCs w:val="24"/>
        </w:rPr>
        <w:t>Justicia; Igualdad;</w:t>
      </w:r>
      <w:r>
        <w:rPr>
          <w:rFonts w:cs="Tahoma"/>
          <w:sz w:val="24"/>
          <w:szCs w:val="24"/>
        </w:rPr>
        <w:t xml:space="preserve"> </w:t>
      </w:r>
      <w:r w:rsidRPr="00B2533B">
        <w:rPr>
          <w:rFonts w:cs="Tahoma"/>
          <w:sz w:val="24"/>
          <w:szCs w:val="24"/>
        </w:rPr>
        <w:t>Legalidad;</w:t>
      </w:r>
      <w:r>
        <w:rPr>
          <w:rFonts w:cs="Tahoma"/>
          <w:sz w:val="24"/>
          <w:szCs w:val="24"/>
        </w:rPr>
        <w:t xml:space="preserve"> </w:t>
      </w:r>
      <w:r w:rsidRPr="00B2533B">
        <w:rPr>
          <w:rFonts w:cs="Tahoma"/>
          <w:sz w:val="24"/>
          <w:szCs w:val="24"/>
        </w:rPr>
        <w:t>Celeridad;</w:t>
      </w:r>
      <w:r>
        <w:rPr>
          <w:rFonts w:cs="Tahoma"/>
          <w:sz w:val="24"/>
          <w:szCs w:val="24"/>
        </w:rPr>
        <w:t xml:space="preserve"> </w:t>
      </w:r>
      <w:r w:rsidRPr="00B2533B">
        <w:rPr>
          <w:rFonts w:cs="Tahoma"/>
          <w:sz w:val="24"/>
          <w:szCs w:val="24"/>
        </w:rPr>
        <w:t>Proporcionalidad;</w:t>
      </w:r>
      <w:r>
        <w:rPr>
          <w:rFonts w:cs="Tahoma"/>
          <w:sz w:val="24"/>
          <w:szCs w:val="24"/>
        </w:rPr>
        <w:t xml:space="preserve"> </w:t>
      </w:r>
      <w:r w:rsidRPr="00B2533B">
        <w:rPr>
          <w:rFonts w:cs="Tahoma"/>
          <w:sz w:val="24"/>
          <w:szCs w:val="24"/>
        </w:rPr>
        <w:t>Economía;</w:t>
      </w:r>
      <w:r>
        <w:rPr>
          <w:rFonts w:cs="Tahoma"/>
          <w:sz w:val="24"/>
          <w:szCs w:val="24"/>
        </w:rPr>
        <w:t xml:space="preserve"> </w:t>
      </w:r>
      <w:r w:rsidRPr="00B2533B">
        <w:rPr>
          <w:rFonts w:cs="Tahoma"/>
          <w:sz w:val="24"/>
          <w:szCs w:val="24"/>
        </w:rPr>
        <w:t>Eficacia; y,</w:t>
      </w:r>
      <w:r>
        <w:rPr>
          <w:rFonts w:cs="Tahoma"/>
          <w:sz w:val="24"/>
          <w:szCs w:val="24"/>
        </w:rPr>
        <w:t xml:space="preserve"> Verdad Material.</w:t>
      </w:r>
    </w:p>
    <w:p w:rsidR="00B2533B" w:rsidRDefault="00B2533B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</w:p>
    <w:p w:rsidR="00B2533B" w:rsidRPr="00B2533B" w:rsidRDefault="00B2533B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>
        <w:rPr>
          <w:rFonts w:cs="Tahoma"/>
          <w:sz w:val="24"/>
          <w:szCs w:val="24"/>
        </w:rPr>
        <w:t xml:space="preserve">Las </w:t>
      </w:r>
      <w:r w:rsidRPr="00B2533B">
        <w:rPr>
          <w:rFonts w:cs="Tahoma"/>
          <w:sz w:val="24"/>
          <w:szCs w:val="24"/>
        </w:rPr>
        <w:t>Fuentes del Ordenamiento Tributario</w:t>
      </w:r>
      <w:r>
        <w:rPr>
          <w:rFonts w:cs="Tahoma"/>
          <w:sz w:val="24"/>
          <w:szCs w:val="24"/>
        </w:rPr>
        <w:t xml:space="preserve"> son:</w:t>
      </w:r>
    </w:p>
    <w:p w:rsidR="00B2533B" w:rsidRPr="00B2533B" w:rsidRDefault="00B2533B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B2533B">
        <w:rPr>
          <w:rFonts w:cs="Tahoma"/>
          <w:sz w:val="24"/>
          <w:szCs w:val="24"/>
        </w:rPr>
        <w:t>a) Las disposiciones constitucionales;</w:t>
      </w:r>
    </w:p>
    <w:p w:rsidR="00B2533B" w:rsidRPr="00B2533B" w:rsidRDefault="00B2533B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B2533B">
        <w:rPr>
          <w:rFonts w:cs="Tahoma"/>
          <w:sz w:val="24"/>
          <w:szCs w:val="24"/>
        </w:rPr>
        <w:t>b) Las leyes, los tratados y las convenciones internacionales que tengan fuerza de ley;</w:t>
      </w:r>
    </w:p>
    <w:p w:rsidR="00B2533B" w:rsidRPr="00B2533B" w:rsidRDefault="00B2533B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B2533B">
        <w:rPr>
          <w:rFonts w:cs="Tahoma"/>
          <w:sz w:val="24"/>
          <w:szCs w:val="24"/>
        </w:rPr>
        <w:t>c) Los reglamentos de aplicación que dicte el órgano ejecutivo; y,</w:t>
      </w:r>
    </w:p>
    <w:p w:rsidR="00B2533B" w:rsidRDefault="00B2533B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B2533B">
        <w:rPr>
          <w:rFonts w:cs="Tahoma"/>
          <w:sz w:val="24"/>
          <w:szCs w:val="24"/>
        </w:rPr>
        <w:t>d) La Jurisprudencia sobre procesos de constitucionalidad de las leyes tributarias.</w:t>
      </w:r>
    </w:p>
    <w:p w:rsid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</w:p>
    <w:p w:rsid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125B40">
        <w:rPr>
          <w:rFonts w:cs="Tahoma"/>
          <w:sz w:val="24"/>
          <w:szCs w:val="24"/>
        </w:rPr>
        <w:t>Los tributos se clasifican en: impuestos, tasas y contribuciones especiales.</w:t>
      </w:r>
    </w:p>
    <w:p w:rsid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</w:p>
    <w:p w:rsid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125B40">
        <w:rPr>
          <w:rFonts w:cs="Tahoma"/>
          <w:b/>
          <w:sz w:val="24"/>
          <w:szCs w:val="24"/>
        </w:rPr>
        <w:t>Impuesto</w:t>
      </w:r>
      <w:r>
        <w:rPr>
          <w:rFonts w:cs="Tahoma"/>
          <w:sz w:val="24"/>
          <w:szCs w:val="24"/>
        </w:rPr>
        <w:t xml:space="preserve">: </w:t>
      </w:r>
      <w:r w:rsidRPr="00125B40">
        <w:rPr>
          <w:rFonts w:cs="Tahoma"/>
          <w:sz w:val="24"/>
          <w:szCs w:val="24"/>
        </w:rPr>
        <w:t>es el tributo exigido sin contraprestación, cuyo hecho generador está</w:t>
      </w:r>
      <w:r>
        <w:rPr>
          <w:rFonts w:cs="Tahoma"/>
          <w:sz w:val="24"/>
          <w:szCs w:val="24"/>
        </w:rPr>
        <w:t xml:space="preserve"> </w:t>
      </w:r>
      <w:r w:rsidRPr="00125B40">
        <w:rPr>
          <w:rFonts w:cs="Tahoma"/>
          <w:sz w:val="24"/>
          <w:szCs w:val="24"/>
        </w:rPr>
        <w:t>constituido por negocios, actos o hechos de naturaleza ju</w:t>
      </w:r>
      <w:r>
        <w:rPr>
          <w:rFonts w:cs="Tahoma"/>
          <w:sz w:val="24"/>
          <w:szCs w:val="24"/>
        </w:rPr>
        <w:t xml:space="preserve">rídica o económica que ponen de </w:t>
      </w:r>
      <w:r w:rsidRPr="00125B40">
        <w:rPr>
          <w:rFonts w:cs="Tahoma"/>
          <w:sz w:val="24"/>
          <w:szCs w:val="24"/>
        </w:rPr>
        <w:t>manifiesto</w:t>
      </w:r>
      <w:r>
        <w:rPr>
          <w:rFonts w:cs="Tahoma"/>
          <w:sz w:val="24"/>
          <w:szCs w:val="24"/>
        </w:rPr>
        <w:t xml:space="preserve"> </w:t>
      </w:r>
      <w:r w:rsidRPr="00125B40">
        <w:rPr>
          <w:rFonts w:cs="Tahoma"/>
          <w:sz w:val="24"/>
          <w:szCs w:val="24"/>
        </w:rPr>
        <w:t>la capacidad contributiva del sujeto pasivo.</w:t>
      </w:r>
    </w:p>
    <w:p w:rsid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</w:p>
    <w:p w:rsidR="00125B40" w:rsidRP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125B40">
        <w:rPr>
          <w:rFonts w:cs="Tahoma"/>
          <w:b/>
          <w:sz w:val="24"/>
          <w:szCs w:val="24"/>
        </w:rPr>
        <w:t>Tasa:</w:t>
      </w:r>
      <w:r>
        <w:rPr>
          <w:rFonts w:cs="Tahoma"/>
          <w:sz w:val="24"/>
          <w:szCs w:val="24"/>
        </w:rPr>
        <w:t xml:space="preserve"> </w:t>
      </w:r>
      <w:r w:rsidRPr="00125B40">
        <w:rPr>
          <w:rFonts w:cs="Tahoma"/>
          <w:sz w:val="24"/>
          <w:szCs w:val="24"/>
        </w:rPr>
        <w:t>Es el tributo cuya obligación tiene como hecho generador la prestación efectiva o</w:t>
      </w:r>
      <w:r>
        <w:rPr>
          <w:rFonts w:cs="Tahoma"/>
          <w:sz w:val="24"/>
          <w:szCs w:val="24"/>
        </w:rPr>
        <w:t xml:space="preserve"> </w:t>
      </w:r>
      <w:r w:rsidRPr="00125B40">
        <w:rPr>
          <w:rFonts w:cs="Tahoma"/>
          <w:sz w:val="24"/>
          <w:szCs w:val="24"/>
        </w:rPr>
        <w:t>potencial de un servicio público individualizado al contribuyente.</w:t>
      </w:r>
      <w:r>
        <w:rPr>
          <w:rFonts w:cs="Tahoma"/>
          <w:sz w:val="24"/>
          <w:szCs w:val="24"/>
        </w:rPr>
        <w:t xml:space="preserve"> </w:t>
      </w:r>
      <w:r w:rsidRPr="00125B40">
        <w:rPr>
          <w:rFonts w:cs="Tahoma"/>
          <w:sz w:val="24"/>
          <w:szCs w:val="24"/>
        </w:rPr>
        <w:t>No es tasa la contraprestación recibida del usuario en pago de servicios no inherentes al</w:t>
      </w:r>
    </w:p>
    <w:p w:rsid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125B40">
        <w:rPr>
          <w:rFonts w:cs="Tahoma"/>
          <w:sz w:val="24"/>
          <w:szCs w:val="24"/>
        </w:rPr>
        <w:t>Estado.</w:t>
      </w:r>
    </w:p>
    <w:p w:rsidR="00125B40" w:rsidRP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b/>
          <w:sz w:val="24"/>
          <w:szCs w:val="24"/>
        </w:rPr>
      </w:pPr>
    </w:p>
    <w:p w:rsidR="00125B40" w:rsidRP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125B40">
        <w:rPr>
          <w:rFonts w:cs="Tahoma"/>
          <w:b/>
          <w:sz w:val="24"/>
          <w:szCs w:val="24"/>
        </w:rPr>
        <w:t>Contribución especial</w:t>
      </w:r>
      <w:r>
        <w:rPr>
          <w:rFonts w:cs="Tahoma"/>
          <w:b/>
          <w:sz w:val="24"/>
          <w:szCs w:val="24"/>
        </w:rPr>
        <w:t>:</w:t>
      </w:r>
      <w:r w:rsidRPr="00125B40">
        <w:rPr>
          <w:rFonts w:cs="Tahoma"/>
          <w:sz w:val="24"/>
          <w:szCs w:val="24"/>
        </w:rPr>
        <w:t xml:space="preserve"> es el tributo cuya obligación tiene como hecho generador</w:t>
      </w:r>
      <w:r>
        <w:rPr>
          <w:rFonts w:cs="Tahoma"/>
          <w:sz w:val="24"/>
          <w:szCs w:val="24"/>
        </w:rPr>
        <w:t xml:space="preserve"> </w:t>
      </w:r>
      <w:r w:rsidRPr="00125B40">
        <w:rPr>
          <w:rFonts w:cs="Tahoma"/>
          <w:sz w:val="24"/>
          <w:szCs w:val="24"/>
        </w:rPr>
        <w:t>beneficios derivados de la realización de obras públicas o de actividades estatales y cuyo producto no</w:t>
      </w:r>
      <w:r>
        <w:rPr>
          <w:rFonts w:cs="Tahoma"/>
          <w:sz w:val="24"/>
          <w:szCs w:val="24"/>
        </w:rPr>
        <w:t xml:space="preserve"> </w:t>
      </w:r>
      <w:r w:rsidRPr="00125B40">
        <w:rPr>
          <w:rFonts w:cs="Tahoma"/>
          <w:sz w:val="24"/>
          <w:szCs w:val="24"/>
        </w:rPr>
        <w:t>debe tener un destino ajeno a la financiación de las obras o las actividades que constituyan el</w:t>
      </w:r>
      <w:r>
        <w:rPr>
          <w:rFonts w:cs="Tahoma"/>
          <w:sz w:val="24"/>
          <w:szCs w:val="24"/>
        </w:rPr>
        <w:t xml:space="preserve"> </w:t>
      </w:r>
      <w:r w:rsidRPr="00125B40">
        <w:rPr>
          <w:rFonts w:cs="Tahoma"/>
          <w:sz w:val="24"/>
          <w:szCs w:val="24"/>
        </w:rPr>
        <w:t>presupuesto de la obligación.</w:t>
      </w:r>
    </w:p>
    <w:p w:rsid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125B40">
        <w:rPr>
          <w:rFonts w:cs="Tahoma"/>
          <w:sz w:val="24"/>
          <w:szCs w:val="24"/>
        </w:rPr>
        <w:lastRenderedPageBreak/>
        <w:t>La contribución de mejora es la instituida para costear la obra pública que produce una</w:t>
      </w:r>
      <w:r>
        <w:rPr>
          <w:rFonts w:cs="Tahoma"/>
          <w:sz w:val="24"/>
          <w:szCs w:val="24"/>
        </w:rPr>
        <w:t xml:space="preserve"> </w:t>
      </w:r>
      <w:r w:rsidRPr="00125B40">
        <w:rPr>
          <w:rFonts w:cs="Tahoma"/>
          <w:sz w:val="24"/>
          <w:szCs w:val="24"/>
        </w:rPr>
        <w:t>valorización inmobiliaria y tiene como límite total el gasto realizado y como límite individual el</w:t>
      </w:r>
      <w:r>
        <w:rPr>
          <w:rFonts w:cs="Tahoma"/>
          <w:sz w:val="24"/>
          <w:szCs w:val="24"/>
        </w:rPr>
        <w:t xml:space="preserve"> </w:t>
      </w:r>
      <w:r w:rsidRPr="00125B40">
        <w:rPr>
          <w:rFonts w:cs="Tahoma"/>
          <w:sz w:val="24"/>
          <w:szCs w:val="24"/>
        </w:rPr>
        <w:t>incremento de valor del inmueble beneficiado.</w:t>
      </w:r>
    </w:p>
    <w:p w:rsid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</w:p>
    <w:p w:rsidR="00125B40" w:rsidRDefault="00125B40" w:rsidP="00052418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125B40">
        <w:rPr>
          <w:rFonts w:cs="Tahoma"/>
          <w:sz w:val="24"/>
          <w:szCs w:val="24"/>
        </w:rPr>
        <w:t>Sujeto activo de la obligación tributaria es el Estado, ente público acreedor del</w:t>
      </w:r>
      <w:r>
        <w:rPr>
          <w:rFonts w:cs="Tahoma"/>
          <w:sz w:val="24"/>
          <w:szCs w:val="24"/>
        </w:rPr>
        <w:t xml:space="preserve"> </w:t>
      </w:r>
      <w:r w:rsidRPr="00125B40">
        <w:rPr>
          <w:rFonts w:cs="Tahoma"/>
          <w:sz w:val="24"/>
          <w:szCs w:val="24"/>
        </w:rPr>
        <w:t>tributo.</w:t>
      </w:r>
      <w:r>
        <w:rPr>
          <w:rFonts w:cs="Tahoma"/>
          <w:sz w:val="24"/>
          <w:szCs w:val="24"/>
        </w:rPr>
        <w:t xml:space="preserve"> </w:t>
      </w:r>
      <w:r w:rsidR="00052418" w:rsidRPr="00052418">
        <w:rPr>
          <w:rFonts w:cs="Tahoma"/>
          <w:sz w:val="24"/>
          <w:szCs w:val="24"/>
        </w:rPr>
        <w:t>Se considera sujeto pasivo para los efectos del presente Código, el obligado al</w:t>
      </w:r>
      <w:r w:rsidR="00052418">
        <w:rPr>
          <w:rFonts w:cs="Tahoma"/>
          <w:sz w:val="24"/>
          <w:szCs w:val="24"/>
        </w:rPr>
        <w:t xml:space="preserve"> </w:t>
      </w:r>
      <w:r w:rsidR="00052418" w:rsidRPr="00052418">
        <w:rPr>
          <w:rFonts w:cs="Tahoma"/>
          <w:sz w:val="24"/>
          <w:szCs w:val="24"/>
        </w:rPr>
        <w:t>cumplimiento de las prestaciones tributarias, sea en calidad de contribuyente o en calidad de responsable.</w:t>
      </w:r>
    </w:p>
    <w:p w:rsidR="00052418" w:rsidRDefault="00052418" w:rsidP="00052418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</w:p>
    <w:p w:rsidR="00052418" w:rsidRDefault="00052418" w:rsidP="00052418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052418">
        <w:rPr>
          <w:rFonts w:cs="Tahoma"/>
          <w:sz w:val="24"/>
          <w:szCs w:val="24"/>
        </w:rPr>
        <w:t>Cuando los contribuyentes o responsables sometan actos, hechos, situaciones o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relaciones a formas, estructuras o tipos jurídicos que manifiestamente no sean los que el Derecho Privado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ofrezca o autorice para configurar adecuadamente su efectiva intención económica, se prescindirá, en la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consideración del hecho generador real, de las formas, estructuras o tipos jurídicos inadecuados y se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considerará el acto, hecho, situación o relación económica real como enmarcada en las formas, estructuras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o tipos jurídicos que el Derecho Privado les aplicaría o les permitiría aplicar como los más adecuados a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la intención real de los mismos, con independencia de los escogidos por los contribuyentes o responsables.</w:t>
      </w:r>
    </w:p>
    <w:p w:rsidR="00052418" w:rsidRDefault="00052418" w:rsidP="00052418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</w:p>
    <w:p w:rsidR="00052418" w:rsidRPr="00052418" w:rsidRDefault="00052418" w:rsidP="00052418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052418">
        <w:rPr>
          <w:rFonts w:cs="Tahoma"/>
          <w:sz w:val="24"/>
          <w:szCs w:val="24"/>
        </w:rPr>
        <w:t>Deberán inscribirse en el Registro los sujetos pasivos que de conformidad a los supuestos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establecidos en este Código o en las leyes tributarias respectivas, resulten obligados al pago de los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diferentes impuestos administrados por la Administración Tributaria, incluyendo los exportadores e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importadores habituales. El plazo para inscribirse será dentro de los quince días siguientes a la fecha de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iniciación de las actividades.</w:t>
      </w:r>
    </w:p>
    <w:p w:rsidR="00052418" w:rsidRDefault="00052418" w:rsidP="00052418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052418">
        <w:rPr>
          <w:rFonts w:cs="Tahoma"/>
          <w:sz w:val="24"/>
          <w:szCs w:val="24"/>
        </w:rPr>
        <w:t>Las personas jurídicas, fideicomisos, sucesiones y los entes colectivos sin personalidad jurídica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están sujetos a la obligación establecida en el inciso precedente, desde la fecha de su constitución, de su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surgimiento, apertura o establecimiento, según sea el caso.</w:t>
      </w:r>
    </w:p>
    <w:p w:rsidR="00052418" w:rsidRDefault="00052418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</w:p>
    <w:p w:rsidR="00052418" w:rsidRPr="00052418" w:rsidRDefault="00052418" w:rsidP="00052418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052418">
        <w:rPr>
          <w:rFonts w:cs="Tahoma"/>
          <w:sz w:val="24"/>
          <w:szCs w:val="24"/>
        </w:rPr>
        <w:t>Para efectos de este Código, se entenderá por dictamen fiscal el documento en el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que conste la opinión relacionada con el cumplimiento de las obligaciones tributarias del contribuyente,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emitida por un Licenciado en Contaduría Pública o un Contador Público Certificado, en pleno uso de sus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facultades profesionales de conformidad a lo establecido en la Ley Reguladora del Ejercicio de la Contaduría.</w:t>
      </w:r>
    </w:p>
    <w:p w:rsidR="00052418" w:rsidRPr="00052418" w:rsidRDefault="00052418" w:rsidP="00052418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052418">
        <w:rPr>
          <w:rFonts w:cs="Tahoma"/>
          <w:sz w:val="24"/>
          <w:szCs w:val="24"/>
        </w:rPr>
        <w:t>Por informe fiscal se entenderá el documento que contendrá un detalle del trabajo realizado por el Auditor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y los resultados obtenidos, lo cual constituye un fundamento de lo expresado en el dictamen fiscal.</w:t>
      </w:r>
    </w:p>
    <w:p w:rsidR="00052418" w:rsidRDefault="00052418" w:rsidP="00052418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052418">
        <w:rPr>
          <w:rFonts w:cs="Tahoma"/>
          <w:sz w:val="24"/>
          <w:szCs w:val="24"/>
        </w:rPr>
        <w:t>Para efectos de esta sección al Licenciado en Contaduría Pública o Contador Público Certificado,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se le llamará Auditor.</w:t>
      </w:r>
    </w:p>
    <w:p w:rsidR="00052418" w:rsidRDefault="00052418" w:rsidP="00052418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052418">
        <w:rPr>
          <w:rFonts w:cs="Tahoma"/>
          <w:sz w:val="24"/>
          <w:szCs w:val="24"/>
        </w:rPr>
        <w:lastRenderedPageBreak/>
        <w:t>El Dictamen Fiscal e Informe Fiscal que emita el Auditor deberá corresponder a</w:t>
      </w:r>
      <w:r>
        <w:rPr>
          <w:rFonts w:cs="Tahoma"/>
          <w:sz w:val="24"/>
          <w:szCs w:val="24"/>
        </w:rPr>
        <w:t xml:space="preserve"> </w:t>
      </w:r>
      <w:r w:rsidRPr="00052418">
        <w:rPr>
          <w:rFonts w:cs="Tahoma"/>
          <w:sz w:val="24"/>
          <w:szCs w:val="24"/>
        </w:rPr>
        <w:t>períodos anuales comprendidos del uno de enero al treinta y uno de diciembre de cada año</w:t>
      </w:r>
      <w:r>
        <w:rPr>
          <w:rFonts w:cs="Tahoma"/>
          <w:sz w:val="24"/>
          <w:szCs w:val="24"/>
        </w:rPr>
        <w:t>.</w:t>
      </w:r>
    </w:p>
    <w:p w:rsidR="00052418" w:rsidRDefault="00052418" w:rsidP="00052418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</w:p>
    <w:p w:rsid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125B40">
        <w:rPr>
          <w:rFonts w:cs="Tahoma"/>
          <w:sz w:val="24"/>
          <w:szCs w:val="24"/>
        </w:rPr>
        <w:t>Reformas del código tributario</w:t>
      </w:r>
      <w:r>
        <w:rPr>
          <w:rFonts w:cs="Tahoma"/>
          <w:sz w:val="24"/>
          <w:szCs w:val="24"/>
        </w:rPr>
        <w:t>:</w:t>
      </w:r>
    </w:p>
    <w:p w:rsidR="00125B40" w:rsidRP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</w:p>
    <w:p w:rsidR="00125B40" w:rsidRDefault="00125B40" w:rsidP="00125B40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125B40">
        <w:rPr>
          <w:rFonts w:cs="Tahoma"/>
          <w:sz w:val="24"/>
          <w:szCs w:val="24"/>
        </w:rPr>
        <w:t>Incremento del anticipo a cuenta mensual que de ser el 1.5% pasa a ser el 1.75%</w:t>
      </w:r>
      <w:r>
        <w:rPr>
          <w:rFonts w:cs="Tahoma"/>
          <w:sz w:val="24"/>
          <w:szCs w:val="24"/>
        </w:rPr>
        <w:t>.</w:t>
      </w:r>
    </w:p>
    <w:p w:rsidR="00125B40" w:rsidRDefault="00125B40" w:rsidP="00125B40">
      <w:pPr>
        <w:pStyle w:val="Prrafodelista"/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</w:p>
    <w:p w:rsidR="00125B40" w:rsidRDefault="00125B40" w:rsidP="00125B40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125B40">
        <w:rPr>
          <w:rFonts w:cs="Tahoma"/>
          <w:sz w:val="24"/>
          <w:szCs w:val="24"/>
        </w:rPr>
        <w:t>Para las personas naturales titulares de empresas mercantiles a quienes e proveedor les asigne precios sugeridos de venta al público o margen de utilidad se mantiene conforme al pago a cuenta del 0.3% sobre ingresos mensuales brutos.</w:t>
      </w:r>
    </w:p>
    <w:p w:rsidR="00125B40" w:rsidRPr="00125B40" w:rsidRDefault="00125B40" w:rsidP="00125B40">
      <w:p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</w:p>
    <w:p w:rsidR="00125B40" w:rsidRPr="00125B40" w:rsidRDefault="00125B40" w:rsidP="00125B40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="Tahoma"/>
          <w:sz w:val="24"/>
          <w:szCs w:val="24"/>
        </w:rPr>
      </w:pPr>
      <w:r w:rsidRPr="00125B40">
        <w:rPr>
          <w:rFonts w:cs="Tahoma"/>
          <w:sz w:val="24"/>
          <w:szCs w:val="24"/>
        </w:rPr>
        <w:t>Personas jurídicas titulares de empresas que venden gasolina y diesel, el porcentaje de de pago o anticipo a cuenta mensual es del 0.75% sobre sus ingresos mensuales según art 151 C.T</w:t>
      </w:r>
    </w:p>
    <w:sectPr w:rsidR="00125B40" w:rsidRPr="00125B40" w:rsidSect="00B409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A5D43"/>
    <w:multiLevelType w:val="hybridMultilevel"/>
    <w:tmpl w:val="4F76C332"/>
    <w:lvl w:ilvl="0" w:tplc="4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C15DA"/>
    <w:rsid w:val="00052418"/>
    <w:rsid w:val="00125B40"/>
    <w:rsid w:val="0025102F"/>
    <w:rsid w:val="00307559"/>
    <w:rsid w:val="00B2533B"/>
    <w:rsid w:val="00B409E6"/>
    <w:rsid w:val="00CC1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5DA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25B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816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2</cp:revision>
  <dcterms:created xsi:type="dcterms:W3CDTF">2013-10-11T19:58:00Z</dcterms:created>
  <dcterms:modified xsi:type="dcterms:W3CDTF">2013-10-11T20:29:00Z</dcterms:modified>
</cp:coreProperties>
</file>