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E87" w:rsidRDefault="00E25E87" w:rsidP="00E25E87">
      <w:pPr>
        <w:pStyle w:val="Ttulo"/>
        <w:spacing w:line="276" w:lineRule="auto"/>
        <w:jc w:val="center"/>
        <w:rPr>
          <w:rFonts w:eastAsia="Times New Roman"/>
          <w:sz w:val="28"/>
          <w:szCs w:val="28"/>
          <w:lang w:val="es-CO" w:eastAsia="es-ES"/>
        </w:rPr>
      </w:pPr>
      <w:r w:rsidRPr="00E25E87">
        <w:rPr>
          <w:rFonts w:eastAsia="Times New Roman"/>
          <w:sz w:val="28"/>
          <w:szCs w:val="28"/>
          <w:lang w:val="es-CO" w:eastAsia="es-ES"/>
        </w:rPr>
        <w:t>Resumen de precios de transferencia</w:t>
      </w:r>
    </w:p>
    <w:p w:rsidR="00E25E87" w:rsidRPr="00E25E87" w:rsidRDefault="00E25E87" w:rsidP="00E25E87">
      <w:pPr>
        <w:spacing w:before="100" w:beforeAutospacing="1" w:after="100" w:afterAutospacing="1"/>
        <w:jc w:val="both"/>
        <w:rPr>
          <w:rFonts w:ascii="Arial Narrow" w:eastAsia="Times New Roman" w:hAnsi="Arial Narrow" w:cs="Times New Roman"/>
          <w:color w:val="000000"/>
          <w:sz w:val="24"/>
          <w:szCs w:val="24"/>
          <w:lang w:eastAsia="es-ES"/>
        </w:rPr>
      </w:pPr>
      <w:r w:rsidRPr="00E25E87">
        <w:rPr>
          <w:rFonts w:ascii="Arial Narrow" w:eastAsia="Times New Roman" w:hAnsi="Arial Narrow" w:cs="Times New Roman"/>
          <w:color w:val="000000"/>
          <w:sz w:val="24"/>
          <w:szCs w:val="24"/>
          <w:lang w:val="es-CO" w:eastAsia="es-ES"/>
        </w:rPr>
        <w:t>Por </w:t>
      </w:r>
      <w:r w:rsidRPr="00E25E87">
        <w:rPr>
          <w:rFonts w:ascii="Arial Narrow" w:eastAsia="Times New Roman" w:hAnsi="Arial Narrow" w:cs="Times New Roman"/>
          <w:color w:val="000000"/>
          <w:sz w:val="24"/>
          <w:szCs w:val="24"/>
          <w:lang w:eastAsia="es-ES"/>
        </w:rPr>
        <w:t>precios de transferencia se puede entender  todo concepto de valor o  precio,  que se asigne sobre bienes, servicios, inversiones y/o tecnología que es negociada entre empresas relacionadas mediante alguna vinculación que implique algún tipo de poder de decisión. Este valor tendrá efectos económicos y jurídicos tanto nacionales como transnacionales, tanto para las empresas que intervengan en la relación comercial, como para las administraciones tributarias  y para terceros.</w:t>
      </w:r>
    </w:p>
    <w:p w:rsidR="00E25E87" w:rsidRPr="00E25E87" w:rsidRDefault="00E25E87" w:rsidP="00E25E87">
      <w:pPr>
        <w:spacing w:before="100" w:beforeAutospacing="1" w:after="100" w:afterAutospacing="1"/>
        <w:jc w:val="both"/>
        <w:rPr>
          <w:rFonts w:ascii="Arial Narrow" w:eastAsia="Times New Roman" w:hAnsi="Arial Narrow" w:cs="Times New Roman"/>
          <w:color w:val="000000"/>
          <w:sz w:val="24"/>
          <w:szCs w:val="24"/>
          <w:lang w:eastAsia="es-ES"/>
        </w:rPr>
      </w:pPr>
      <w:r w:rsidRPr="00E25E87">
        <w:rPr>
          <w:rFonts w:ascii="Arial Narrow" w:eastAsia="Times New Roman" w:hAnsi="Arial Narrow" w:cs="Times New Roman"/>
          <w:color w:val="000000"/>
          <w:sz w:val="24"/>
          <w:szCs w:val="24"/>
          <w:lang w:eastAsia="es-ES"/>
        </w:rPr>
        <w:t>El objetivo de esta tesis es estudiar desde la perspectiva de la  nueva  regulación  colombiana sobre la materia, uno de los sistemas para reducir la fiscalidad más utilizados en el mundo: el de los precios de transferencia.</w:t>
      </w:r>
    </w:p>
    <w:p w:rsidR="00E25E87" w:rsidRPr="00E25E87" w:rsidRDefault="00E25E87" w:rsidP="00E25E87">
      <w:pPr>
        <w:spacing w:before="100" w:beforeAutospacing="1" w:after="100" w:afterAutospacing="1"/>
        <w:jc w:val="both"/>
        <w:rPr>
          <w:rFonts w:ascii="Arial Narrow" w:hAnsi="Arial Narrow"/>
          <w:b/>
          <w:sz w:val="24"/>
          <w:szCs w:val="24"/>
        </w:rPr>
      </w:pPr>
      <w:r w:rsidRPr="00E25E87">
        <w:rPr>
          <w:rFonts w:ascii="Arial Narrow" w:eastAsia="Times New Roman" w:hAnsi="Arial Narrow" w:cs="Times New Roman"/>
          <w:color w:val="000000"/>
          <w:sz w:val="24"/>
          <w:szCs w:val="24"/>
          <w:lang w:eastAsia="es-ES"/>
        </w:rPr>
        <w:t xml:space="preserve">A lo largo de cada uno de los capítulos que componen esta tesis, se aportan los elementos para que el lector al final cuente con los argumentos para determinar la perspectiva   de este régimen en Colombia. Tal como se podrá observar a lo largo de todo este trabajo, para  aplicar los precios de transferencia es necesario determinar </w:t>
      </w:r>
      <w:r w:rsidRPr="00E25E87">
        <w:rPr>
          <w:rFonts w:ascii="Arial Narrow" w:eastAsia="Times New Roman" w:hAnsi="Arial Narrow" w:cs="Times New Roman"/>
          <w:color w:val="000000"/>
          <w:sz w:val="24"/>
          <w:szCs w:val="24"/>
          <w:lang w:eastAsia="es-ES"/>
        </w:rPr>
        <w:t>quiénes</w:t>
      </w:r>
      <w:r w:rsidRPr="00E25E87">
        <w:rPr>
          <w:rFonts w:ascii="Arial Narrow" w:eastAsia="Times New Roman" w:hAnsi="Arial Narrow" w:cs="Times New Roman"/>
          <w:color w:val="000000"/>
          <w:sz w:val="24"/>
          <w:szCs w:val="24"/>
          <w:lang w:eastAsia="es-ES"/>
        </w:rPr>
        <w:t xml:space="preserve"> son vinculados económicos o partes relacionadas, identificar partes comparables con base en factores de comparabilidad, efectuar un análisis económico utilizando uno cualquiera de los métodos reconocidos, que permita determinar los precios o utilidades de los comparables y mediante los ajustes económicos del caso, determinar el rango de precios o utilidades en que se debe enmarcar la operación del contribuyente analizada.</w:t>
      </w:r>
    </w:p>
    <w:p w:rsidR="00046DB7" w:rsidRPr="00E25E87" w:rsidRDefault="00046DB7" w:rsidP="00E25E87">
      <w:pPr>
        <w:pStyle w:val="Ttulo2"/>
        <w:rPr>
          <w:rFonts w:ascii="Arial Narrow" w:hAnsi="Arial Narrow"/>
        </w:rPr>
      </w:pPr>
      <w:r w:rsidRPr="00E25E87">
        <w:rPr>
          <w:rFonts w:ascii="Arial Narrow" w:hAnsi="Arial Narrow"/>
        </w:rPr>
        <w:t xml:space="preserve">Los precios de transferencia pueden </w:t>
      </w:r>
      <w:r w:rsidR="00E25E87" w:rsidRPr="00E25E87">
        <w:rPr>
          <w:rFonts w:ascii="Arial Narrow" w:hAnsi="Arial Narrow"/>
        </w:rPr>
        <w:t>visualizarse bajo dos enfoques:</w:t>
      </w:r>
    </w:p>
    <w:p w:rsidR="00046DB7" w:rsidRPr="00E25E87" w:rsidRDefault="00046DB7" w:rsidP="00E25E87">
      <w:pPr>
        <w:jc w:val="both"/>
        <w:rPr>
          <w:rFonts w:ascii="Arial Narrow" w:hAnsi="Arial Narrow"/>
          <w:sz w:val="24"/>
          <w:szCs w:val="24"/>
        </w:rPr>
      </w:pPr>
      <w:r w:rsidRPr="00E25E87">
        <w:rPr>
          <w:rFonts w:ascii="Arial Narrow" w:hAnsi="Arial Narrow"/>
          <w:sz w:val="24"/>
          <w:szCs w:val="24"/>
        </w:rPr>
        <w:t>1. Para los grandes grupos multinacionales el objetivo es buscar</w:t>
      </w:r>
      <w:r w:rsidR="00E25E87" w:rsidRPr="00E25E87">
        <w:rPr>
          <w:rFonts w:ascii="Arial Narrow" w:hAnsi="Arial Narrow"/>
          <w:sz w:val="24"/>
          <w:szCs w:val="24"/>
        </w:rPr>
        <w:t xml:space="preserve"> </w:t>
      </w:r>
      <w:r w:rsidRPr="00E25E87">
        <w:rPr>
          <w:rFonts w:ascii="Arial Narrow" w:hAnsi="Arial Narrow"/>
          <w:sz w:val="24"/>
          <w:szCs w:val="24"/>
        </w:rPr>
        <w:t>territorios, jurisdicciones o</w:t>
      </w:r>
      <w:r w:rsidR="00E25E87" w:rsidRPr="00E25E87">
        <w:rPr>
          <w:rFonts w:ascii="Arial Narrow" w:hAnsi="Arial Narrow"/>
          <w:sz w:val="24"/>
          <w:szCs w:val="24"/>
        </w:rPr>
        <w:t xml:space="preserve"> </w:t>
      </w:r>
      <w:r w:rsidRPr="00E25E87">
        <w:rPr>
          <w:rFonts w:ascii="Arial Narrow" w:hAnsi="Arial Narrow"/>
          <w:sz w:val="24"/>
          <w:szCs w:val="24"/>
        </w:rPr>
        <w:t>países en donde puedan cumplir sus</w:t>
      </w:r>
      <w:r w:rsidR="00E25E87" w:rsidRPr="00E25E87">
        <w:rPr>
          <w:rFonts w:ascii="Arial Narrow" w:hAnsi="Arial Narrow"/>
          <w:sz w:val="24"/>
          <w:szCs w:val="24"/>
        </w:rPr>
        <w:t xml:space="preserve"> </w:t>
      </w:r>
      <w:r w:rsidRPr="00E25E87">
        <w:rPr>
          <w:rFonts w:ascii="Arial Narrow" w:hAnsi="Arial Narrow"/>
          <w:sz w:val="24"/>
          <w:szCs w:val="24"/>
        </w:rPr>
        <w:t>obligaciones fiscales con tasas reducidas, con bases gravables</w:t>
      </w:r>
      <w:r w:rsidR="00E25E87" w:rsidRPr="00E25E87">
        <w:rPr>
          <w:rFonts w:ascii="Arial Narrow" w:hAnsi="Arial Narrow"/>
          <w:sz w:val="24"/>
          <w:szCs w:val="24"/>
        </w:rPr>
        <w:t xml:space="preserve"> </w:t>
      </w:r>
      <w:r w:rsidRPr="00E25E87">
        <w:rPr>
          <w:rFonts w:ascii="Arial Narrow" w:hAnsi="Arial Narrow"/>
          <w:sz w:val="24"/>
          <w:szCs w:val="24"/>
        </w:rPr>
        <w:t xml:space="preserve">sumamente limitadas y de ser posible, con la </w:t>
      </w:r>
      <w:r w:rsidR="00E25E87" w:rsidRPr="00E25E87">
        <w:rPr>
          <w:rFonts w:ascii="Arial Narrow" w:hAnsi="Arial Narrow"/>
          <w:sz w:val="24"/>
          <w:szCs w:val="24"/>
        </w:rPr>
        <w:t>más</w:t>
      </w:r>
      <w:r w:rsidRPr="00E25E87">
        <w:rPr>
          <w:rFonts w:ascii="Arial Narrow" w:hAnsi="Arial Narrow"/>
          <w:sz w:val="24"/>
          <w:szCs w:val="24"/>
        </w:rPr>
        <w:t xml:space="preserve"> baja precisión</w:t>
      </w:r>
      <w:r w:rsidR="00E25E87" w:rsidRPr="00E25E87">
        <w:rPr>
          <w:rFonts w:ascii="Arial Narrow" w:hAnsi="Arial Narrow"/>
          <w:sz w:val="24"/>
          <w:szCs w:val="24"/>
        </w:rPr>
        <w:t xml:space="preserve"> </w:t>
      </w:r>
      <w:r w:rsidRPr="00E25E87">
        <w:rPr>
          <w:rFonts w:ascii="Arial Narrow" w:hAnsi="Arial Narrow"/>
          <w:sz w:val="24"/>
          <w:szCs w:val="24"/>
        </w:rPr>
        <w:t>fiscal, o</w:t>
      </w:r>
      <w:r w:rsidR="00E25E87" w:rsidRPr="00E25E87">
        <w:rPr>
          <w:rFonts w:ascii="Arial Narrow" w:hAnsi="Arial Narrow"/>
          <w:sz w:val="24"/>
          <w:szCs w:val="24"/>
        </w:rPr>
        <w:t xml:space="preserve">ptimizando así sus utilidades. </w:t>
      </w:r>
    </w:p>
    <w:p w:rsidR="00F83C4B" w:rsidRDefault="00046DB7" w:rsidP="00E25E87">
      <w:pPr>
        <w:jc w:val="both"/>
        <w:rPr>
          <w:rFonts w:ascii="Arial Narrow" w:hAnsi="Arial Narrow"/>
          <w:sz w:val="24"/>
          <w:szCs w:val="24"/>
        </w:rPr>
      </w:pPr>
      <w:r w:rsidRPr="00E25E87">
        <w:rPr>
          <w:rFonts w:ascii="Arial Narrow" w:hAnsi="Arial Narrow"/>
          <w:sz w:val="24"/>
          <w:szCs w:val="24"/>
        </w:rPr>
        <w:t>2. Por su cuenta las administraciones tributarias de cada uno de los</w:t>
      </w:r>
      <w:r w:rsidR="00E25E87" w:rsidRPr="00E25E87">
        <w:rPr>
          <w:rFonts w:ascii="Arial Narrow" w:hAnsi="Arial Narrow"/>
          <w:sz w:val="24"/>
          <w:szCs w:val="24"/>
        </w:rPr>
        <w:t xml:space="preserve"> </w:t>
      </w:r>
      <w:r w:rsidRPr="00E25E87">
        <w:rPr>
          <w:rFonts w:ascii="Arial Narrow" w:hAnsi="Arial Narrow"/>
          <w:sz w:val="24"/>
          <w:szCs w:val="24"/>
        </w:rPr>
        <w:t>países del mundo desean gravar la riqueza generada por los sujetos que se encuentran bajo su soberanía fiscal con el objeto que paguen el impuesto que hubiera correspondido, en operaciones realizadas en un mercado abierto, fuera de cualquier manipulación posible.</w:t>
      </w:r>
    </w:p>
    <w:p w:rsidR="00E25E87" w:rsidRPr="00E25E87" w:rsidRDefault="00E25E87" w:rsidP="00E25E87">
      <w:pPr>
        <w:jc w:val="both"/>
        <w:rPr>
          <w:rFonts w:ascii="Arial Narrow" w:hAnsi="Arial Narrow"/>
          <w:sz w:val="24"/>
          <w:szCs w:val="24"/>
        </w:rPr>
      </w:pPr>
    </w:p>
    <w:p w:rsidR="00046DB7" w:rsidRPr="00E25E87" w:rsidRDefault="00046DB7" w:rsidP="00E25E87">
      <w:pPr>
        <w:jc w:val="center"/>
        <w:rPr>
          <w:rFonts w:ascii="Arial Narrow" w:eastAsiaTheme="majorEastAsia" w:hAnsi="Arial Narrow" w:cstheme="majorBidi"/>
          <w:b/>
          <w:bCs/>
          <w:color w:val="4F81BD" w:themeColor="accent1"/>
          <w:sz w:val="26"/>
          <w:szCs w:val="26"/>
        </w:rPr>
      </w:pPr>
      <w:r w:rsidRPr="00E25E87">
        <w:rPr>
          <w:rFonts w:ascii="Arial Narrow" w:eastAsiaTheme="majorEastAsia" w:hAnsi="Arial Narrow" w:cstheme="majorBidi"/>
          <w:b/>
          <w:bCs/>
          <w:color w:val="4F81BD" w:themeColor="accent1"/>
          <w:sz w:val="26"/>
          <w:szCs w:val="26"/>
        </w:rPr>
        <w:t>Determinación de Precios</w:t>
      </w:r>
    </w:p>
    <w:p w:rsidR="00046DB7" w:rsidRPr="00E25E87" w:rsidRDefault="00046DB7" w:rsidP="00E25E87">
      <w:pPr>
        <w:jc w:val="both"/>
        <w:rPr>
          <w:rFonts w:ascii="Arial Narrow" w:hAnsi="Arial Narrow"/>
          <w:b/>
          <w:sz w:val="24"/>
          <w:szCs w:val="24"/>
        </w:rPr>
      </w:pPr>
      <w:r w:rsidRPr="00E25E87">
        <w:rPr>
          <w:rFonts w:ascii="Arial Narrow" w:hAnsi="Arial Narrow"/>
          <w:sz w:val="24"/>
          <w:szCs w:val="24"/>
        </w:rPr>
        <w:t xml:space="preserve">  </w:t>
      </w:r>
      <w:r w:rsidRPr="00E25E87">
        <w:rPr>
          <w:rFonts w:ascii="Arial Narrow" w:hAnsi="Arial Narrow"/>
          <w:b/>
          <w:sz w:val="24"/>
          <w:szCs w:val="24"/>
        </w:rPr>
        <w:t>Artículo 62-A del C</w:t>
      </w:r>
      <w:r w:rsidR="00E25E87">
        <w:rPr>
          <w:rFonts w:ascii="Arial Narrow" w:hAnsi="Arial Narrow"/>
          <w:b/>
          <w:sz w:val="24"/>
          <w:szCs w:val="24"/>
        </w:rPr>
        <w:t xml:space="preserve">ódigo </w:t>
      </w:r>
      <w:r w:rsidRPr="00E25E87">
        <w:rPr>
          <w:rFonts w:ascii="Arial Narrow" w:hAnsi="Arial Narrow"/>
          <w:b/>
          <w:sz w:val="24"/>
          <w:szCs w:val="24"/>
        </w:rPr>
        <w:t>T</w:t>
      </w:r>
      <w:r w:rsidR="00E25E87">
        <w:rPr>
          <w:rFonts w:ascii="Arial Narrow" w:hAnsi="Arial Narrow"/>
          <w:b/>
          <w:sz w:val="24"/>
          <w:szCs w:val="24"/>
        </w:rPr>
        <w:t>ributario</w:t>
      </w:r>
      <w:r w:rsidRPr="00E25E87">
        <w:rPr>
          <w:rFonts w:ascii="Arial Narrow" w:hAnsi="Arial Narrow"/>
          <w:b/>
          <w:sz w:val="24"/>
          <w:szCs w:val="24"/>
        </w:rPr>
        <w:t xml:space="preserve">. </w:t>
      </w:r>
    </w:p>
    <w:p w:rsidR="00046DB7" w:rsidRPr="00E25E87" w:rsidRDefault="00046DB7" w:rsidP="00E25E87">
      <w:pPr>
        <w:jc w:val="both"/>
        <w:rPr>
          <w:rFonts w:ascii="Arial Narrow" w:hAnsi="Arial Narrow"/>
          <w:sz w:val="24"/>
          <w:szCs w:val="24"/>
        </w:rPr>
      </w:pPr>
      <w:r w:rsidRPr="00E25E87">
        <w:rPr>
          <w:rFonts w:ascii="Arial Narrow" w:hAnsi="Arial Narrow"/>
          <w:sz w:val="24"/>
          <w:szCs w:val="24"/>
        </w:rPr>
        <w:t xml:space="preserve"> Para efectos tributarios, los contribuyentes que celebren operaciones </w:t>
      </w:r>
      <w:r w:rsidR="00E25E87" w:rsidRPr="00E25E87">
        <w:rPr>
          <w:rFonts w:ascii="Arial Narrow" w:hAnsi="Arial Narrow"/>
          <w:sz w:val="24"/>
          <w:szCs w:val="24"/>
        </w:rPr>
        <w:t xml:space="preserve"> </w:t>
      </w:r>
      <w:r w:rsidRPr="00E25E87">
        <w:rPr>
          <w:rFonts w:ascii="Arial Narrow" w:hAnsi="Arial Narrow"/>
          <w:sz w:val="24"/>
          <w:szCs w:val="24"/>
        </w:rPr>
        <w:t>o transacciones con</w:t>
      </w:r>
      <w:r w:rsidR="00E25E87" w:rsidRPr="00E25E87">
        <w:rPr>
          <w:rFonts w:ascii="Arial Narrow" w:hAnsi="Arial Narrow"/>
          <w:sz w:val="24"/>
          <w:szCs w:val="24"/>
        </w:rPr>
        <w:t xml:space="preserve"> </w:t>
      </w:r>
      <w:r w:rsidRPr="00E25E87">
        <w:rPr>
          <w:rFonts w:ascii="Arial Narrow" w:hAnsi="Arial Narrow"/>
          <w:sz w:val="24"/>
          <w:szCs w:val="24"/>
        </w:rPr>
        <w:t>sujetos relacionados, estarán obligados a</w:t>
      </w:r>
      <w:r w:rsidR="00E25E87" w:rsidRPr="00E25E87">
        <w:rPr>
          <w:rFonts w:ascii="Arial Narrow" w:hAnsi="Arial Narrow"/>
          <w:sz w:val="24"/>
          <w:szCs w:val="24"/>
        </w:rPr>
        <w:t xml:space="preserve"> </w:t>
      </w:r>
      <w:r w:rsidRPr="00E25E87">
        <w:rPr>
          <w:rFonts w:ascii="Arial Narrow" w:hAnsi="Arial Narrow"/>
          <w:sz w:val="24"/>
          <w:szCs w:val="24"/>
        </w:rPr>
        <w:t>determinar los precios y montos de las</w:t>
      </w:r>
      <w:r w:rsidR="00E25E87" w:rsidRPr="00E25E87">
        <w:rPr>
          <w:rFonts w:ascii="Arial Narrow" w:hAnsi="Arial Narrow"/>
          <w:sz w:val="24"/>
          <w:szCs w:val="24"/>
        </w:rPr>
        <w:t xml:space="preserve"> </w:t>
      </w:r>
      <w:r w:rsidRPr="00E25E87">
        <w:rPr>
          <w:rFonts w:ascii="Arial Narrow" w:hAnsi="Arial Narrow"/>
          <w:sz w:val="24"/>
          <w:szCs w:val="24"/>
        </w:rPr>
        <w:t>contraprestaciones,</w:t>
      </w:r>
      <w:r w:rsidR="00E25E87" w:rsidRPr="00E25E87">
        <w:rPr>
          <w:rFonts w:ascii="Arial Narrow" w:hAnsi="Arial Narrow"/>
          <w:sz w:val="24"/>
          <w:szCs w:val="24"/>
        </w:rPr>
        <w:t xml:space="preserve"> </w:t>
      </w:r>
      <w:r w:rsidRPr="00E25E87">
        <w:rPr>
          <w:rFonts w:ascii="Arial Narrow" w:hAnsi="Arial Narrow"/>
          <w:sz w:val="24"/>
          <w:szCs w:val="24"/>
        </w:rPr>
        <w:t>considerando para esas operaciones los precios de mercado</w:t>
      </w:r>
      <w:r w:rsidR="00E25E87" w:rsidRPr="00E25E87">
        <w:rPr>
          <w:rFonts w:ascii="Arial Narrow" w:hAnsi="Arial Narrow"/>
          <w:sz w:val="24"/>
          <w:szCs w:val="24"/>
        </w:rPr>
        <w:t xml:space="preserve"> </w:t>
      </w:r>
      <w:r w:rsidRPr="00E25E87">
        <w:rPr>
          <w:rFonts w:ascii="Arial Narrow" w:hAnsi="Arial Narrow"/>
          <w:sz w:val="24"/>
          <w:szCs w:val="24"/>
        </w:rPr>
        <w:t>utilizados en</w:t>
      </w:r>
      <w:r w:rsidR="00E25E87" w:rsidRPr="00E25E87">
        <w:rPr>
          <w:rFonts w:ascii="Arial Narrow" w:hAnsi="Arial Narrow"/>
          <w:sz w:val="24"/>
          <w:szCs w:val="24"/>
        </w:rPr>
        <w:t xml:space="preserve"> </w:t>
      </w:r>
      <w:r w:rsidRPr="00E25E87">
        <w:rPr>
          <w:rFonts w:ascii="Arial Narrow" w:hAnsi="Arial Narrow"/>
          <w:sz w:val="24"/>
          <w:szCs w:val="24"/>
        </w:rPr>
        <w:t>transferencias de bienes o prestación de servicios de la</w:t>
      </w:r>
      <w:r w:rsidR="00E25E87" w:rsidRPr="00E25E87">
        <w:rPr>
          <w:rFonts w:ascii="Arial Narrow" w:hAnsi="Arial Narrow"/>
          <w:sz w:val="24"/>
          <w:szCs w:val="24"/>
        </w:rPr>
        <w:t xml:space="preserve"> </w:t>
      </w:r>
      <w:r w:rsidRPr="00E25E87">
        <w:rPr>
          <w:rFonts w:ascii="Arial Narrow" w:hAnsi="Arial Narrow"/>
          <w:sz w:val="24"/>
          <w:szCs w:val="24"/>
        </w:rPr>
        <w:t>misma especie, entre sujetos</w:t>
      </w:r>
      <w:r w:rsidR="00E25E87" w:rsidRPr="00E25E87">
        <w:rPr>
          <w:rFonts w:ascii="Arial Narrow" w:hAnsi="Arial Narrow"/>
          <w:sz w:val="24"/>
          <w:szCs w:val="24"/>
        </w:rPr>
        <w:t xml:space="preserve"> </w:t>
      </w:r>
      <w:r w:rsidRPr="00E25E87">
        <w:rPr>
          <w:rFonts w:ascii="Arial Narrow" w:hAnsi="Arial Narrow"/>
          <w:sz w:val="24"/>
          <w:szCs w:val="24"/>
        </w:rPr>
        <w:t xml:space="preserve">independientes. Igualmente los contribuyentes deberán determinar a precios de mercado las </w:t>
      </w:r>
      <w:r w:rsidRPr="00E25E87">
        <w:rPr>
          <w:rFonts w:ascii="Arial Narrow" w:hAnsi="Arial Narrow"/>
          <w:sz w:val="24"/>
          <w:szCs w:val="24"/>
        </w:rPr>
        <w:lastRenderedPageBreak/>
        <w:t xml:space="preserve">operaciones o transacciones que se celebren con sujetos domiciliados, constituidos o ubicados en países, estados o territorios con regímenes fiscales preferentes, de baja o nula tributación o </w:t>
      </w:r>
      <w:r w:rsidR="00E25E87" w:rsidRPr="00E25E87">
        <w:rPr>
          <w:rFonts w:ascii="Arial Narrow" w:hAnsi="Arial Narrow"/>
          <w:sz w:val="24"/>
          <w:szCs w:val="24"/>
        </w:rPr>
        <w:t xml:space="preserve"> </w:t>
      </w:r>
      <w:r w:rsidRPr="00E25E87">
        <w:rPr>
          <w:rFonts w:ascii="Arial Narrow" w:hAnsi="Arial Narrow"/>
          <w:sz w:val="24"/>
          <w:szCs w:val="24"/>
        </w:rPr>
        <w:t>paraísos fiscales.</w:t>
      </w:r>
    </w:p>
    <w:p w:rsidR="00046DB7" w:rsidRDefault="00046DB7" w:rsidP="00E25E87">
      <w:pPr>
        <w:jc w:val="both"/>
        <w:rPr>
          <w:rFonts w:ascii="Arial Narrow" w:hAnsi="Arial Narrow"/>
          <w:sz w:val="24"/>
          <w:szCs w:val="24"/>
        </w:rPr>
      </w:pPr>
      <w:r w:rsidRPr="00E25E87">
        <w:rPr>
          <w:rFonts w:ascii="Arial Narrow" w:hAnsi="Arial Narrow"/>
          <w:sz w:val="24"/>
          <w:szCs w:val="24"/>
        </w:rPr>
        <w:t>Cuando los contribuyentes incumplan las obligaciones reguladas en el inciso</w:t>
      </w:r>
      <w:r w:rsidR="00E25E87" w:rsidRPr="00E25E87">
        <w:rPr>
          <w:rFonts w:ascii="Arial Narrow" w:hAnsi="Arial Narrow"/>
          <w:sz w:val="24"/>
          <w:szCs w:val="24"/>
        </w:rPr>
        <w:t xml:space="preserve"> </w:t>
      </w:r>
      <w:r w:rsidRPr="00E25E87">
        <w:rPr>
          <w:rFonts w:ascii="Arial Narrow" w:hAnsi="Arial Narrow"/>
          <w:sz w:val="24"/>
          <w:szCs w:val="24"/>
        </w:rPr>
        <w:t>anterior, la Administración Tributaria de conformidad con lo dispuesto en los artículos 199-A, 199-B, 199-C y 199-D de este Código,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w:t>
      </w:r>
    </w:p>
    <w:p w:rsidR="00E25E87" w:rsidRPr="00E25E87" w:rsidRDefault="00E25E87" w:rsidP="00E25E87">
      <w:pPr>
        <w:pStyle w:val="Ttulo2"/>
        <w:jc w:val="center"/>
        <w:rPr>
          <w:rFonts w:ascii="Arial Narrow" w:hAnsi="Arial Narrow"/>
        </w:rPr>
      </w:pPr>
      <w:r w:rsidRPr="00E25E87">
        <w:rPr>
          <w:rFonts w:ascii="Arial Narrow" w:hAnsi="Arial Narrow"/>
        </w:rPr>
        <w:t>Estimación de la Base Imponible</w:t>
      </w:r>
    </w:p>
    <w:p w:rsidR="00E25E87" w:rsidRPr="00E25E87" w:rsidRDefault="00E25E87" w:rsidP="00E25E87">
      <w:pPr>
        <w:jc w:val="both"/>
        <w:rPr>
          <w:rFonts w:ascii="Arial Narrow" w:hAnsi="Arial Narrow"/>
          <w:b/>
          <w:sz w:val="24"/>
          <w:szCs w:val="24"/>
        </w:rPr>
      </w:pPr>
      <w:r w:rsidRPr="00E25E87">
        <w:rPr>
          <w:rFonts w:ascii="Arial Narrow" w:hAnsi="Arial Narrow"/>
          <w:b/>
          <w:sz w:val="24"/>
          <w:szCs w:val="24"/>
        </w:rPr>
        <w:t xml:space="preserve">Artículo 199-A del C.T. </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Se faculta a la Administración Tributaria para</w:t>
      </w:r>
      <w:r>
        <w:rPr>
          <w:rFonts w:ascii="Arial Narrow" w:hAnsi="Arial Narrow"/>
          <w:sz w:val="24"/>
          <w:szCs w:val="24"/>
        </w:rPr>
        <w:t>:</w:t>
      </w:r>
      <w:r w:rsidRPr="00E25E87">
        <w:rPr>
          <w:rFonts w:ascii="Arial Narrow" w:hAnsi="Arial Narrow"/>
          <w:sz w:val="24"/>
          <w:szCs w:val="24"/>
        </w:rPr>
        <w:t xml:space="preserve"> </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 xml:space="preserve">• Estimar la base imponible de IVA: si el precio de la transferencia o monto de la remuneración no fueren fidedignos o resultaren inferiores o superiores al corriente de mercado. </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 xml:space="preserve">• Establecer el crédito fiscal: cuando el precio de adquisición, sea superior al corriente de mercado. </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 xml:space="preserve">• Determinar la renta y deducciones del ISR: cuando éstas resulten ser inferiores o superiores a los precios de mercado </w:t>
      </w:r>
    </w:p>
    <w:p w:rsidR="00E25E87" w:rsidRPr="00E25E87" w:rsidRDefault="00E25E87" w:rsidP="00E25E87">
      <w:pPr>
        <w:jc w:val="both"/>
        <w:rPr>
          <w:rFonts w:ascii="Arial Narrow" w:hAnsi="Arial Narrow"/>
          <w:b/>
          <w:sz w:val="24"/>
          <w:szCs w:val="24"/>
        </w:rPr>
      </w:pPr>
      <w:r w:rsidRPr="00E25E87">
        <w:rPr>
          <w:rFonts w:ascii="Arial Narrow" w:hAnsi="Arial Narrow"/>
          <w:b/>
          <w:sz w:val="24"/>
          <w:szCs w:val="24"/>
        </w:rPr>
        <w:t>Sujetos Relacionados</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 xml:space="preserve"> Artículo 199-C del C.T. </w:t>
      </w:r>
    </w:p>
    <w:p w:rsidR="00E25E87" w:rsidRPr="00E25E87" w:rsidRDefault="00E25E87" w:rsidP="00E25E87">
      <w:pPr>
        <w:jc w:val="both"/>
        <w:rPr>
          <w:rFonts w:ascii="Arial Narrow" w:hAnsi="Arial Narrow"/>
          <w:sz w:val="24"/>
          <w:szCs w:val="24"/>
        </w:rPr>
      </w:pPr>
      <w:r w:rsidRPr="00E25E87">
        <w:rPr>
          <w:rFonts w:ascii="Arial Narrow" w:hAnsi="Arial Narrow"/>
          <w:sz w:val="24"/>
          <w:szCs w:val="24"/>
        </w:rPr>
        <w:t xml:space="preserve">Para efectos de lo dispuesto en este Código y demás leyes tributarias se entenderá como sujetos relacionados: </w:t>
      </w:r>
      <w:bookmarkStart w:id="0" w:name="_GoBack"/>
      <w:bookmarkEnd w:id="0"/>
    </w:p>
    <w:p w:rsidR="00E25E87" w:rsidRPr="00E25E87" w:rsidRDefault="00E25E87" w:rsidP="00E25E87">
      <w:pPr>
        <w:pStyle w:val="Prrafodelista"/>
        <w:numPr>
          <w:ilvl w:val="0"/>
          <w:numId w:val="1"/>
        </w:numPr>
        <w:jc w:val="both"/>
        <w:rPr>
          <w:rFonts w:ascii="Arial Narrow" w:hAnsi="Arial Narrow"/>
          <w:sz w:val="24"/>
          <w:szCs w:val="24"/>
        </w:rPr>
      </w:pPr>
      <w:r w:rsidRPr="00E25E87">
        <w:rPr>
          <w:rFonts w:ascii="Arial Narrow" w:hAnsi="Arial Narrow"/>
          <w:sz w:val="24"/>
          <w:szCs w:val="24"/>
        </w:rPr>
        <w:t xml:space="preserve">Cuando uno de ellos dirija o controle la otra, o posea, directa o indirectamente, al menos el 25% de su capital social o de sus derechos de voto.  </w:t>
      </w:r>
    </w:p>
    <w:p w:rsidR="00E25E87" w:rsidRPr="00E25E87" w:rsidRDefault="00E25E87" w:rsidP="00E25E87">
      <w:pPr>
        <w:pStyle w:val="Prrafodelista"/>
        <w:numPr>
          <w:ilvl w:val="0"/>
          <w:numId w:val="1"/>
        </w:numPr>
        <w:jc w:val="both"/>
        <w:rPr>
          <w:rFonts w:ascii="Arial Narrow" w:hAnsi="Arial Narrow"/>
          <w:sz w:val="24"/>
          <w:szCs w:val="24"/>
        </w:rPr>
      </w:pPr>
      <w:r w:rsidRPr="00E25E87">
        <w:rPr>
          <w:rFonts w:ascii="Arial Narrow" w:hAnsi="Arial Narrow"/>
          <w:sz w:val="24"/>
          <w:szCs w:val="24"/>
        </w:rPr>
        <w:t>Cuando cinco o menos personas dirijan o controlen ambas personas, o</w:t>
      </w:r>
      <w:r w:rsidRPr="00E25E87">
        <w:rPr>
          <w:rFonts w:ascii="Arial Narrow" w:hAnsi="Arial Narrow"/>
          <w:sz w:val="24"/>
          <w:szCs w:val="24"/>
        </w:rPr>
        <w:t xml:space="preserve"> </w:t>
      </w:r>
      <w:r w:rsidRPr="00E25E87">
        <w:rPr>
          <w:rFonts w:ascii="Arial Narrow" w:hAnsi="Arial Narrow"/>
          <w:sz w:val="24"/>
          <w:szCs w:val="24"/>
        </w:rPr>
        <w:t xml:space="preserve">posean en su conjunto, directa o indirectamente, al menos el 25% de participación en el capital social o los derechos de voto de ambas personas.  </w:t>
      </w:r>
    </w:p>
    <w:p w:rsidR="00E25E87" w:rsidRPr="00E25E87" w:rsidRDefault="00E25E87" w:rsidP="00E25E87">
      <w:pPr>
        <w:pStyle w:val="Prrafodelista"/>
        <w:numPr>
          <w:ilvl w:val="0"/>
          <w:numId w:val="1"/>
        </w:numPr>
        <w:jc w:val="both"/>
        <w:rPr>
          <w:rFonts w:ascii="Arial Narrow" w:hAnsi="Arial Narrow"/>
          <w:sz w:val="24"/>
          <w:szCs w:val="24"/>
        </w:rPr>
      </w:pPr>
      <w:r w:rsidRPr="00E25E87">
        <w:rPr>
          <w:rFonts w:ascii="Arial Narrow" w:hAnsi="Arial Narrow"/>
          <w:sz w:val="24"/>
          <w:szCs w:val="24"/>
        </w:rPr>
        <w:t>Cuando sean sociedades que pertenezcan a una misma unidad de decisión o grupo empresarial.</w:t>
      </w:r>
    </w:p>
    <w:p w:rsidR="00E25E87" w:rsidRPr="00E25E87" w:rsidRDefault="00E25E87" w:rsidP="00E25E87">
      <w:pPr>
        <w:jc w:val="both"/>
        <w:rPr>
          <w:rFonts w:ascii="Arial Narrow" w:hAnsi="Arial Narrow"/>
          <w:sz w:val="24"/>
          <w:szCs w:val="24"/>
        </w:rPr>
      </w:pPr>
    </w:p>
    <w:sectPr w:rsidR="00E25E87" w:rsidRPr="00E25E8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355A"/>
    <w:multiLevelType w:val="hybridMultilevel"/>
    <w:tmpl w:val="C746475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61652B15"/>
    <w:multiLevelType w:val="hybridMultilevel"/>
    <w:tmpl w:val="1206F7B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DB7"/>
    <w:rsid w:val="00046DB7"/>
    <w:rsid w:val="00E25E87"/>
    <w:rsid w:val="00F83C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25E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25E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25E87"/>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E25E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25E87"/>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E25E8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E25E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E25E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E25E8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25E87"/>
    <w:rPr>
      <w:rFonts w:asciiTheme="majorHAnsi" w:eastAsiaTheme="majorEastAsia" w:hAnsiTheme="majorHAnsi" w:cstheme="majorBidi"/>
      <w:b/>
      <w:bCs/>
      <w:color w:val="365F91" w:themeColor="accent1" w:themeShade="BF"/>
      <w:sz w:val="28"/>
      <w:szCs w:val="28"/>
    </w:rPr>
  </w:style>
  <w:style w:type="paragraph" w:styleId="Ttulo">
    <w:name w:val="Title"/>
    <w:basedOn w:val="Normal"/>
    <w:next w:val="Normal"/>
    <w:link w:val="TtuloCar"/>
    <w:uiPriority w:val="10"/>
    <w:qFormat/>
    <w:rsid w:val="00E25E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E25E87"/>
    <w:rPr>
      <w:rFonts w:asciiTheme="majorHAnsi" w:eastAsiaTheme="majorEastAsia" w:hAnsiTheme="majorHAnsi" w:cstheme="majorBidi"/>
      <w:color w:val="17365D" w:themeColor="text2" w:themeShade="BF"/>
      <w:spacing w:val="5"/>
      <w:kern w:val="28"/>
      <w:sz w:val="52"/>
      <w:szCs w:val="52"/>
    </w:rPr>
  </w:style>
  <w:style w:type="character" w:customStyle="1" w:styleId="Ttulo2Car">
    <w:name w:val="Título 2 Car"/>
    <w:basedOn w:val="Fuentedeprrafopredeter"/>
    <w:link w:val="Ttulo2"/>
    <w:uiPriority w:val="9"/>
    <w:rsid w:val="00E25E87"/>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E25E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700</Words>
  <Characters>3851</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dc:creator>
  <cp:lastModifiedBy>mi</cp:lastModifiedBy>
  <cp:revision>1</cp:revision>
  <dcterms:created xsi:type="dcterms:W3CDTF">2013-10-28T00:02:00Z</dcterms:created>
  <dcterms:modified xsi:type="dcterms:W3CDTF">2013-10-28T00:33:00Z</dcterms:modified>
</cp:coreProperties>
</file>