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9F9" w:rsidRPr="00FE231A" w:rsidRDefault="00F96A72" w:rsidP="00FE231A">
      <w:pPr>
        <w:spacing w:line="240" w:lineRule="auto"/>
        <w:jc w:val="both"/>
        <w:rPr>
          <w:rFonts w:ascii="Arial Narrow" w:hAnsi="Arial Narrow"/>
          <w:b/>
          <w:sz w:val="24"/>
          <w:szCs w:val="24"/>
        </w:rPr>
      </w:pPr>
      <w:r w:rsidRPr="00FE231A">
        <w:rPr>
          <w:rFonts w:ascii="Arial Narrow" w:hAnsi="Arial Narrow"/>
          <w:b/>
          <w:sz w:val="24"/>
          <w:szCs w:val="24"/>
        </w:rPr>
        <w:t>Resumen del Código Tributario</w:t>
      </w:r>
    </w:p>
    <w:p w:rsidR="00F96A72" w:rsidRPr="00FE231A" w:rsidRDefault="00F96A72" w:rsidP="00FE231A">
      <w:pPr>
        <w:spacing w:line="240" w:lineRule="auto"/>
        <w:jc w:val="both"/>
        <w:rPr>
          <w:rFonts w:ascii="Arial Narrow" w:hAnsi="Arial Narrow"/>
          <w:b/>
          <w:sz w:val="24"/>
          <w:szCs w:val="24"/>
        </w:rPr>
      </w:pPr>
    </w:p>
    <w:p w:rsidR="00C11F28" w:rsidRPr="00FE231A" w:rsidRDefault="00C11F28" w:rsidP="00FE231A">
      <w:pPr>
        <w:pStyle w:val="Fuentedeprrafopredeter"/>
        <w:widowControl w:val="0"/>
        <w:overflowPunct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b/>
          <w:sz w:val="24"/>
          <w:szCs w:val="24"/>
        </w:rPr>
        <w:t xml:space="preserve">Finalidad: </w:t>
      </w:r>
      <w:r w:rsidRPr="00FE231A">
        <w:rPr>
          <w:rFonts w:ascii="Arial Narrow" w:hAnsi="Arial Narrow" w:cs="Tahoma"/>
          <w:sz w:val="24"/>
          <w:szCs w:val="24"/>
        </w:rPr>
        <w:t>contiene los principios y normas jurídicas, aplicables a todos los tributos internos bajo la competencia de la Administración Tributaria.</w:t>
      </w:r>
    </w:p>
    <w:p w:rsidR="00CD4440" w:rsidRPr="00FE231A" w:rsidRDefault="00CD4440" w:rsidP="00FE231A">
      <w:pPr>
        <w:pStyle w:val="Fuentedeprrafopredeter"/>
        <w:widowControl w:val="0"/>
        <w:overflowPunct w:val="0"/>
        <w:autoSpaceDE w:val="0"/>
        <w:autoSpaceDN w:val="0"/>
        <w:adjustRightInd w:val="0"/>
        <w:spacing w:after="0" w:line="240" w:lineRule="auto"/>
        <w:jc w:val="both"/>
        <w:rPr>
          <w:rFonts w:ascii="Arial Narrow" w:hAnsi="Arial Narrow"/>
          <w:b/>
          <w:sz w:val="24"/>
          <w:szCs w:val="24"/>
        </w:rPr>
      </w:pPr>
    </w:p>
    <w:p w:rsidR="00CD4440" w:rsidRPr="00FE231A" w:rsidRDefault="00CD4440"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b/>
          <w:sz w:val="24"/>
          <w:szCs w:val="24"/>
        </w:rPr>
        <w:t>Tributos</w:t>
      </w:r>
      <w:r w:rsidRPr="00FE231A">
        <w:rPr>
          <w:rFonts w:ascii="Arial Narrow" w:hAnsi="Arial Narrow" w:cs="Tahoma"/>
          <w:sz w:val="24"/>
          <w:szCs w:val="24"/>
        </w:rPr>
        <w:t xml:space="preserve">: </w:t>
      </w:r>
      <w:r w:rsidRPr="00FE231A">
        <w:rPr>
          <w:rFonts w:ascii="Arial Narrow" w:hAnsi="Arial Narrow" w:cs="Tahoma"/>
          <w:sz w:val="24"/>
          <w:szCs w:val="24"/>
        </w:rPr>
        <w:t>son las obligaciones que establece el Estado, en ejercicio de su poder de imperio cuya prestación en dinero se exige con el propósito de obtener recursos pa</w:t>
      </w:r>
      <w:r w:rsidRPr="00FE231A">
        <w:rPr>
          <w:rFonts w:ascii="Arial Narrow" w:hAnsi="Arial Narrow" w:cs="Tahoma"/>
          <w:sz w:val="24"/>
          <w:szCs w:val="24"/>
        </w:rPr>
        <w:t xml:space="preserve">ra el cumplimiento de sus fines, estos se clasifican en </w:t>
      </w:r>
      <w:r w:rsidRPr="00FE231A">
        <w:rPr>
          <w:rFonts w:ascii="Arial Narrow" w:hAnsi="Arial Narrow" w:cs="Tahoma"/>
          <w:sz w:val="24"/>
          <w:szCs w:val="24"/>
        </w:rPr>
        <w:t>impuestos, tasas y contribuciones especiales.</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ahoma"/>
          <w:sz w:val="24"/>
          <w:szCs w:val="24"/>
        </w:rPr>
      </w:pPr>
      <w:r w:rsidRPr="00FE231A">
        <w:rPr>
          <w:rFonts w:ascii="Arial Narrow" w:hAnsi="Arial Narrow" w:cs="Tahoma"/>
          <w:b/>
          <w:bCs/>
          <w:sz w:val="24"/>
          <w:szCs w:val="24"/>
        </w:rPr>
        <w:t>Obligación Tributaria</w:t>
      </w:r>
      <w:r w:rsidRPr="00FE231A">
        <w:rPr>
          <w:rFonts w:ascii="Arial Narrow" w:hAnsi="Arial Narrow" w:cs="Tahoma"/>
          <w:b/>
          <w:bCs/>
          <w:sz w:val="24"/>
          <w:szCs w:val="24"/>
        </w:rPr>
        <w:t xml:space="preserve">: </w:t>
      </w:r>
      <w:r w:rsidRPr="00FE231A">
        <w:rPr>
          <w:rFonts w:ascii="Arial Narrow" w:hAnsi="Arial Narrow" w:cs="Tahoma"/>
          <w:sz w:val="24"/>
          <w:szCs w:val="24"/>
        </w:rPr>
        <w:t>La obligación tributaria es el vínculo jurídico de derecho público, que establece el Estado en el ejercicio del poder de imponer, exigible coactivamente de quienes se encuentran sometidos a su soberanía, cuando respecto de ellos se verifica el hecho previsto por la ley y que le da origen.</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ahoma"/>
          <w:sz w:val="24"/>
          <w:szCs w:val="24"/>
        </w:rPr>
      </w:pP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ahoma"/>
          <w:sz w:val="24"/>
          <w:szCs w:val="24"/>
        </w:rPr>
      </w:pPr>
      <w:r w:rsidRPr="00FE231A">
        <w:rPr>
          <w:rFonts w:ascii="Arial Narrow" w:hAnsi="Arial Narrow" w:cs="Tahoma"/>
          <w:sz w:val="24"/>
          <w:szCs w:val="24"/>
        </w:rPr>
        <w:t xml:space="preserve">El Código Tributario </w:t>
      </w:r>
      <w:r w:rsidRPr="00FE231A">
        <w:rPr>
          <w:rFonts w:ascii="Arial Narrow" w:hAnsi="Arial Narrow" w:cs="Tahoma"/>
          <w:sz w:val="24"/>
          <w:szCs w:val="24"/>
        </w:rPr>
        <w:t>consider</w:t>
      </w:r>
      <w:r w:rsidRPr="00FE231A">
        <w:rPr>
          <w:rFonts w:ascii="Arial Narrow" w:hAnsi="Arial Narrow" w:cs="Tahoma"/>
          <w:sz w:val="24"/>
          <w:szCs w:val="24"/>
        </w:rPr>
        <w:t>a sujeto pasivo</w:t>
      </w:r>
      <w:r w:rsidRPr="00FE231A">
        <w:rPr>
          <w:rFonts w:ascii="Arial Narrow" w:hAnsi="Arial Narrow" w:cs="Tahoma"/>
          <w:sz w:val="24"/>
          <w:szCs w:val="24"/>
        </w:rPr>
        <w:t>, el obligado al cumplimiento de las prestaciones tributarias, sea en calidad de contribuyente o en calidad de responsable.</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ahoma"/>
          <w:sz w:val="24"/>
          <w:szCs w:val="24"/>
        </w:rPr>
      </w:pPr>
    </w:p>
    <w:p w:rsidR="00D4217C" w:rsidRPr="00FE231A" w:rsidRDefault="00D4217C" w:rsidP="00FE231A">
      <w:pPr>
        <w:pStyle w:val="Fuentedeprrafopredeter"/>
        <w:widowControl w:val="0"/>
        <w:overflowPunct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sz w:val="24"/>
          <w:szCs w:val="24"/>
        </w:rPr>
        <w:t>Para el código tributario s</w:t>
      </w:r>
      <w:r w:rsidRPr="00FE231A">
        <w:rPr>
          <w:rFonts w:ascii="Arial Narrow" w:hAnsi="Arial Narrow" w:cs="Tahoma"/>
          <w:sz w:val="24"/>
          <w:szCs w:val="24"/>
        </w:rPr>
        <w:t>on contribuyentes quienes realizan o respecto de los cuales se verifica el hecho generador de la obligación tributaria.</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overflowPunct w:val="0"/>
        <w:autoSpaceDE w:val="0"/>
        <w:autoSpaceDN w:val="0"/>
        <w:adjustRightInd w:val="0"/>
        <w:spacing w:after="0" w:line="240" w:lineRule="auto"/>
        <w:jc w:val="both"/>
        <w:rPr>
          <w:rFonts w:ascii="Arial Narrow" w:hAnsi="Arial Narrow" w:cs="Tahoma"/>
          <w:sz w:val="24"/>
          <w:szCs w:val="24"/>
        </w:rPr>
      </w:pPr>
      <w:r w:rsidRPr="00FE231A">
        <w:rPr>
          <w:rFonts w:ascii="Arial Narrow" w:hAnsi="Arial Narrow" w:cs="Tahoma"/>
          <w:sz w:val="24"/>
          <w:szCs w:val="24"/>
        </w:rPr>
        <w:t>Los contribuyentes están obligados al pago de los tributos y al cumplimiento de las obligaciones formales establecidas por este Código o por las Leyes tributarias respectivas, así como al pago de las multas e intereses a que haya lugar.</w:t>
      </w:r>
    </w:p>
    <w:p w:rsidR="00D4217C" w:rsidRPr="00FE231A" w:rsidRDefault="00D4217C" w:rsidP="00FE231A">
      <w:pPr>
        <w:pStyle w:val="Fuentedeprrafopredeter"/>
        <w:widowControl w:val="0"/>
        <w:overflowPunct w:val="0"/>
        <w:autoSpaceDE w:val="0"/>
        <w:autoSpaceDN w:val="0"/>
        <w:adjustRightInd w:val="0"/>
        <w:spacing w:after="0" w:line="240" w:lineRule="auto"/>
        <w:jc w:val="both"/>
        <w:rPr>
          <w:rFonts w:ascii="Arial Narrow" w:hAnsi="Arial Narrow" w:cs="Tahoma"/>
          <w:sz w:val="24"/>
          <w:szCs w:val="24"/>
        </w:rPr>
      </w:pP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b/>
          <w:bCs/>
          <w:sz w:val="24"/>
          <w:szCs w:val="24"/>
        </w:rPr>
        <w:t>Agentes de Retención y Percepción</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overflowPunct w:val="0"/>
        <w:autoSpaceDE w:val="0"/>
        <w:autoSpaceDN w:val="0"/>
        <w:adjustRightInd w:val="0"/>
        <w:spacing w:after="0" w:line="240" w:lineRule="auto"/>
        <w:jc w:val="both"/>
        <w:rPr>
          <w:rFonts w:ascii="Arial Narrow" w:hAnsi="Arial Narrow" w:cs="Tahoma"/>
          <w:sz w:val="24"/>
          <w:szCs w:val="24"/>
        </w:rPr>
      </w:pPr>
      <w:r w:rsidRPr="00FE231A">
        <w:rPr>
          <w:rFonts w:ascii="Arial Narrow" w:hAnsi="Arial Narrow" w:cs="Tahoma"/>
          <w:sz w:val="24"/>
          <w:szCs w:val="24"/>
        </w:rPr>
        <w:t>Son responsables directos en calidad de agentes de retención o percepción, los sujetos designados por este Código o por la Administración Tributaria, a efectuar la retención o percepción del impuesto que corresponda, en actos u operaciones en los que intervengan o cuando paguen o acrediten sumas.</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ahoma"/>
          <w:sz w:val="24"/>
          <w:szCs w:val="24"/>
        </w:rPr>
      </w:pPr>
      <w:r w:rsidRPr="00FE231A">
        <w:rPr>
          <w:rFonts w:ascii="Arial Narrow" w:hAnsi="Arial Narrow" w:cs="Tahoma"/>
          <w:b/>
          <w:bCs/>
          <w:sz w:val="24"/>
          <w:szCs w:val="24"/>
        </w:rPr>
        <w:t>Hecho Generador</w:t>
      </w:r>
      <w:r w:rsidRPr="00FE231A">
        <w:rPr>
          <w:rFonts w:ascii="Arial Narrow" w:hAnsi="Arial Narrow" w:cs="Tahoma"/>
          <w:b/>
          <w:bCs/>
          <w:sz w:val="24"/>
          <w:szCs w:val="24"/>
        </w:rPr>
        <w:t>:</w:t>
      </w:r>
      <w:r w:rsidRPr="00FE231A">
        <w:rPr>
          <w:rFonts w:ascii="Arial Narrow" w:hAnsi="Arial Narrow" w:cs="Tahoma"/>
          <w:sz w:val="24"/>
          <w:szCs w:val="24"/>
        </w:rPr>
        <w:t xml:space="preserve"> es el presupuesto establecido por la ley por cuya realización se origina el nacimiento de la obligación tributaria.</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ahoma"/>
          <w:sz w:val="24"/>
          <w:szCs w:val="24"/>
        </w:rPr>
      </w:pP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b/>
          <w:bCs/>
          <w:sz w:val="24"/>
          <w:szCs w:val="24"/>
        </w:rPr>
        <w:t>Nacimiento de la Obligación Tributaria</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overflowPunct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sz w:val="24"/>
          <w:szCs w:val="24"/>
        </w:rPr>
        <w:t>La ley podrá independizar el momento del nacimiento de la obligación tributaria del momento de consumación del hecho generador, incluso anticipando el primero cuando, en el curso del acto, hecho, situación o relación tipificados resultare previsible su consumación según el orden natural y ordinario de las cosas y pudiera cuantificarse la materia imponible respectiva.</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ahoma"/>
          <w:b/>
          <w:bCs/>
          <w:sz w:val="24"/>
          <w:szCs w:val="24"/>
        </w:rPr>
      </w:pPr>
      <w:r w:rsidRPr="00FE231A">
        <w:rPr>
          <w:rFonts w:ascii="Arial Narrow" w:hAnsi="Arial Narrow" w:cs="Tahoma"/>
          <w:b/>
          <w:bCs/>
          <w:sz w:val="24"/>
          <w:szCs w:val="24"/>
        </w:rPr>
        <w:t>Extinción de la obligación tributaria</w:t>
      </w:r>
      <w:r w:rsidR="00FA6C3E" w:rsidRPr="00FE231A">
        <w:rPr>
          <w:rFonts w:ascii="Arial Narrow" w:hAnsi="Arial Narrow" w:cs="Tahoma"/>
          <w:b/>
          <w:bCs/>
          <w:sz w:val="24"/>
          <w:szCs w:val="24"/>
        </w:rPr>
        <w:t xml:space="preserve">: </w:t>
      </w:r>
      <w:r w:rsidR="00FA6C3E" w:rsidRPr="00FE231A">
        <w:rPr>
          <w:rFonts w:ascii="Arial Narrow" w:hAnsi="Arial Narrow" w:cs="Tahoma"/>
          <w:bCs/>
          <w:sz w:val="24"/>
          <w:szCs w:val="24"/>
        </w:rPr>
        <w:t>la obligación se puede extinguir mediante: p</w:t>
      </w:r>
      <w:r w:rsidRPr="00FE231A">
        <w:rPr>
          <w:rFonts w:ascii="Arial Narrow" w:hAnsi="Arial Narrow" w:cs="Tahoma"/>
          <w:sz w:val="24"/>
          <w:szCs w:val="24"/>
        </w:rPr>
        <w:t>ago, Compensación, Confusión</w:t>
      </w:r>
      <w:r w:rsidRPr="00FE231A">
        <w:rPr>
          <w:rFonts w:ascii="Arial Narrow" w:hAnsi="Arial Narrow" w:cs="Tahoma"/>
          <w:sz w:val="24"/>
          <w:szCs w:val="24"/>
        </w:rPr>
        <w:t xml:space="preserve"> y</w:t>
      </w:r>
      <w:r w:rsidRPr="00FE231A">
        <w:rPr>
          <w:rFonts w:ascii="Arial Narrow" w:hAnsi="Arial Narrow" w:cs="Tahoma"/>
          <w:sz w:val="24"/>
          <w:szCs w:val="24"/>
        </w:rPr>
        <w:t xml:space="preserve"> </w:t>
      </w:r>
      <w:r w:rsidRPr="00FE231A">
        <w:rPr>
          <w:rFonts w:ascii="Arial Narrow" w:hAnsi="Arial Narrow" w:cs="Tahoma"/>
          <w:sz w:val="24"/>
          <w:szCs w:val="24"/>
        </w:rPr>
        <w:t xml:space="preserve">Prescripción. </w:t>
      </w: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FA6C3E" w:rsidRPr="00FE231A" w:rsidRDefault="00FA6C3E" w:rsidP="00FE231A">
      <w:pPr>
        <w:pStyle w:val="Fuentedeprrafopredeter"/>
        <w:widowControl w:val="0"/>
        <w:autoSpaceDE w:val="0"/>
        <w:autoSpaceDN w:val="0"/>
        <w:adjustRightInd w:val="0"/>
        <w:spacing w:after="0" w:line="240" w:lineRule="auto"/>
        <w:jc w:val="both"/>
        <w:rPr>
          <w:rFonts w:ascii="Arial Narrow" w:hAnsi="Arial Narrow" w:cs="Tahoma"/>
          <w:bCs/>
          <w:sz w:val="24"/>
          <w:szCs w:val="24"/>
        </w:rPr>
      </w:pPr>
      <w:r w:rsidRPr="00FE231A">
        <w:rPr>
          <w:rFonts w:ascii="Arial Narrow" w:hAnsi="Arial Narrow" w:cs="Times New Roman"/>
          <w:sz w:val="24"/>
          <w:szCs w:val="24"/>
        </w:rPr>
        <w:t xml:space="preserve">El código tributario establece que los contribuyentes deben emitir una serie de documentos como por ejemplo: </w:t>
      </w:r>
      <w:r w:rsidRPr="00FE231A">
        <w:rPr>
          <w:rFonts w:ascii="Arial Narrow" w:hAnsi="Arial Narrow" w:cs="Tahoma"/>
          <w:bCs/>
          <w:sz w:val="24"/>
          <w:szCs w:val="24"/>
        </w:rPr>
        <w:t>Comprobantes de Crédito Fiscal</w:t>
      </w:r>
      <w:r w:rsidRPr="00FE231A">
        <w:rPr>
          <w:rFonts w:ascii="Arial Narrow" w:hAnsi="Arial Narrow" w:cs="Tahoma"/>
          <w:bCs/>
          <w:sz w:val="24"/>
          <w:szCs w:val="24"/>
        </w:rPr>
        <w:t xml:space="preserve">, </w:t>
      </w:r>
      <w:r w:rsidRPr="00FE231A">
        <w:rPr>
          <w:rFonts w:ascii="Arial Narrow" w:hAnsi="Arial Narrow" w:cs="Tahoma"/>
          <w:bCs/>
          <w:sz w:val="24"/>
          <w:szCs w:val="24"/>
        </w:rPr>
        <w:t>Comprobante de Liquidación</w:t>
      </w:r>
      <w:r w:rsidRPr="00FE231A">
        <w:rPr>
          <w:rFonts w:ascii="Arial Narrow" w:hAnsi="Arial Narrow" w:cs="Tahoma"/>
          <w:bCs/>
          <w:sz w:val="24"/>
          <w:szCs w:val="24"/>
        </w:rPr>
        <w:t xml:space="preserve">, </w:t>
      </w:r>
      <w:r w:rsidRPr="00FE231A">
        <w:rPr>
          <w:rFonts w:ascii="Arial Narrow" w:hAnsi="Arial Narrow" w:cs="Tahoma"/>
          <w:bCs/>
          <w:sz w:val="24"/>
          <w:szCs w:val="24"/>
        </w:rPr>
        <w:t>Nota de Remisión</w:t>
      </w:r>
      <w:r w:rsidRPr="00FE231A">
        <w:rPr>
          <w:rFonts w:ascii="Arial Narrow" w:hAnsi="Arial Narrow" w:cs="Tahoma"/>
          <w:bCs/>
          <w:sz w:val="24"/>
          <w:szCs w:val="24"/>
        </w:rPr>
        <w:t xml:space="preserve">, </w:t>
      </w:r>
      <w:r w:rsidRPr="00FE231A">
        <w:rPr>
          <w:rFonts w:ascii="Arial Narrow" w:hAnsi="Arial Narrow" w:cs="Tahoma"/>
          <w:bCs/>
          <w:sz w:val="24"/>
          <w:szCs w:val="24"/>
        </w:rPr>
        <w:t>Notas de Débito y Crédito</w:t>
      </w:r>
      <w:r w:rsidRPr="00FE231A">
        <w:rPr>
          <w:rFonts w:ascii="Arial Narrow" w:hAnsi="Arial Narrow" w:cs="Tahoma"/>
          <w:bCs/>
          <w:sz w:val="24"/>
          <w:szCs w:val="24"/>
        </w:rPr>
        <w:t xml:space="preserve">, </w:t>
      </w:r>
      <w:r w:rsidRPr="00FE231A">
        <w:rPr>
          <w:rFonts w:ascii="Arial Narrow" w:hAnsi="Arial Narrow" w:cs="Tahoma"/>
          <w:bCs/>
          <w:sz w:val="24"/>
          <w:szCs w:val="24"/>
        </w:rPr>
        <w:t>Comprobante de Retención</w:t>
      </w:r>
      <w:r w:rsidRPr="00FE231A">
        <w:rPr>
          <w:rFonts w:ascii="Arial Narrow" w:hAnsi="Arial Narrow" w:cs="Tahoma"/>
          <w:bCs/>
          <w:sz w:val="24"/>
          <w:szCs w:val="24"/>
        </w:rPr>
        <w:t>, notas de remisión, factura de venta simplificada, etc., todos estos documentos deben cumplir con las obligaciones formales que establece el código tributario.</w:t>
      </w: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b/>
          <w:bCs/>
          <w:sz w:val="24"/>
          <w:szCs w:val="24"/>
        </w:rPr>
        <w:lastRenderedPageBreak/>
        <w:t>Informe de operaciones con sujetos relacionados</w:t>
      </w:r>
      <w:r w:rsidRPr="00FE231A">
        <w:rPr>
          <w:rFonts w:ascii="Arial Narrow" w:hAnsi="Arial Narrow" w:cs="Tahoma"/>
          <w:sz w:val="24"/>
          <w:szCs w:val="24"/>
        </w:rPr>
        <w:t xml:space="preserve">. </w:t>
      </w: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E341C" w:rsidRPr="00FE231A" w:rsidRDefault="00DE341C" w:rsidP="00FE231A">
      <w:pPr>
        <w:pStyle w:val="Fuentedeprrafopredeter"/>
        <w:widowControl w:val="0"/>
        <w:overflowPunct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sz w:val="24"/>
          <w:szCs w:val="24"/>
        </w:rPr>
        <w:t>Los contribuyentes que celebren operaciones con sujetos relacionados o sujetos domiciliados, constituidos o ubicados en países, estados o territorios con regímenes fiscales preferentes, de baja o nula tributación o paraísos fiscales durante un ejercicio fiscal, y tales operaciones ya sea en forma individual o conjunta sean iguales o superiores a quinientos setenta y un mil cuatrocientos veintinueve dólares de los estados unidos de américa ($571,429.00), deberán presentar un informe de las operaciones que ejecute con dichos sujetos, a través de los formularios que proporcione la administración tributaria con los requisitos y especificaciones técnicas que ésta disponga para tal efecto.</w:t>
      </w: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b/>
          <w:bCs/>
          <w:sz w:val="24"/>
          <w:szCs w:val="24"/>
        </w:rPr>
        <w:t>Dictamen e Informe Fiscal</w:t>
      </w: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ahoma"/>
          <w:sz w:val="24"/>
          <w:szCs w:val="24"/>
        </w:rPr>
      </w:pPr>
      <w:r w:rsidRPr="00FE231A">
        <w:rPr>
          <w:rFonts w:ascii="Arial Narrow" w:hAnsi="Arial Narrow" w:cs="Tahoma"/>
          <w:sz w:val="24"/>
          <w:szCs w:val="24"/>
        </w:rPr>
        <w:t>Para efectos de este Código, se entenderá por dictamen fiscal el documento en el que conste la opinión relacionada con el cumplimiento de las obligaciones tributarias del contribuyente, emitida por un Licenciado en Contaduría Pública o un Contador Público Certificado, en pleno uso de sus facultades profesionales de conformidad a lo establecido en la Ley Reguladora del Ejercicio de la Contaduría. Por informe fiscal se entenderá el documento que contendrá un detalle del trabajo realizado por el Auditor y los resultados obtenidos, lo cual constituye un fundamento de lo expresado en el dictamen fiscal</w:t>
      </w:r>
      <w:r w:rsidRPr="00FE231A">
        <w:rPr>
          <w:rFonts w:ascii="Arial Narrow" w:hAnsi="Arial Narrow" w:cs="Tahoma"/>
          <w:sz w:val="24"/>
          <w:szCs w:val="24"/>
        </w:rPr>
        <w:t>.</w:t>
      </w: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ahoma"/>
          <w:sz w:val="24"/>
          <w:szCs w:val="24"/>
        </w:rPr>
      </w:pP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b/>
          <w:bCs/>
          <w:sz w:val="24"/>
          <w:szCs w:val="24"/>
        </w:rPr>
        <w:t>Métodos de Valuación de Inventarios</w:t>
      </w: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E341C" w:rsidRPr="00FE231A" w:rsidRDefault="00DE341C" w:rsidP="00FE231A">
      <w:pPr>
        <w:pStyle w:val="Fuentedeprrafopredeter"/>
        <w:widowControl w:val="0"/>
        <w:overflowPunct w:val="0"/>
        <w:autoSpaceDE w:val="0"/>
        <w:autoSpaceDN w:val="0"/>
        <w:adjustRightInd w:val="0"/>
        <w:spacing w:after="0" w:line="240" w:lineRule="auto"/>
        <w:jc w:val="both"/>
        <w:rPr>
          <w:rFonts w:ascii="Arial Narrow" w:hAnsi="Arial Narrow" w:cs="Tahoma"/>
          <w:i/>
          <w:sz w:val="24"/>
          <w:szCs w:val="24"/>
        </w:rPr>
      </w:pPr>
      <w:r w:rsidRPr="00FE231A">
        <w:rPr>
          <w:rFonts w:ascii="Arial Narrow" w:hAnsi="Arial Narrow" w:cs="Tahoma"/>
          <w:sz w:val="24"/>
          <w:szCs w:val="24"/>
        </w:rPr>
        <w:t xml:space="preserve">El valor para efectos tributarios de los bienes se consignará en el inventario utilizando </w:t>
      </w:r>
      <w:r w:rsidRPr="00FE231A">
        <w:rPr>
          <w:rFonts w:ascii="Arial Narrow" w:hAnsi="Arial Narrow" w:cs="Tahoma"/>
          <w:sz w:val="24"/>
          <w:szCs w:val="24"/>
        </w:rPr>
        <w:t>cualquiera</w:t>
      </w:r>
      <w:r w:rsidRPr="00FE231A">
        <w:rPr>
          <w:rFonts w:ascii="Arial Narrow" w:hAnsi="Arial Narrow" w:cs="Tahoma"/>
          <w:sz w:val="24"/>
          <w:szCs w:val="24"/>
        </w:rPr>
        <w:t xml:space="preserve"> de los siguientes métodos, a opción del contribuyente, siempre que técnicamente fuere apropiado al negocio de que se trate, aplicando en forma constante y de fácil fiscalización:</w:t>
      </w:r>
      <w:r w:rsidRPr="00FE231A">
        <w:rPr>
          <w:rFonts w:ascii="Arial Narrow" w:hAnsi="Arial Narrow" w:cs="Tahoma"/>
          <w:sz w:val="24"/>
          <w:szCs w:val="24"/>
        </w:rPr>
        <w:t xml:space="preserve"> </w:t>
      </w:r>
      <w:r w:rsidRPr="00FE231A">
        <w:rPr>
          <w:rFonts w:ascii="Arial Narrow" w:hAnsi="Arial Narrow" w:cs="Tahoma"/>
          <w:i/>
          <w:sz w:val="24"/>
          <w:szCs w:val="24"/>
        </w:rPr>
        <w:t>Costo de adquisición</w:t>
      </w:r>
      <w:r w:rsidRPr="00FE231A">
        <w:rPr>
          <w:rFonts w:ascii="Arial Narrow" w:hAnsi="Arial Narrow" w:cs="Tahoma"/>
          <w:i/>
          <w:sz w:val="24"/>
          <w:szCs w:val="24"/>
        </w:rPr>
        <w:t xml:space="preserve">, </w:t>
      </w:r>
      <w:r w:rsidRPr="00FE231A">
        <w:rPr>
          <w:rFonts w:ascii="Arial Narrow" w:hAnsi="Arial Narrow" w:cs="Tahoma"/>
          <w:i/>
          <w:sz w:val="24"/>
          <w:szCs w:val="24"/>
        </w:rPr>
        <w:t>Costo según última compra</w:t>
      </w:r>
      <w:r w:rsidRPr="00FE231A">
        <w:rPr>
          <w:rFonts w:ascii="Arial Narrow" w:hAnsi="Arial Narrow" w:cs="Tahoma"/>
          <w:i/>
          <w:sz w:val="24"/>
          <w:szCs w:val="24"/>
        </w:rPr>
        <w:t xml:space="preserve">, </w:t>
      </w:r>
      <w:r w:rsidRPr="00FE231A">
        <w:rPr>
          <w:rFonts w:ascii="Arial Narrow" w:hAnsi="Arial Narrow" w:cs="Tahoma"/>
          <w:i/>
          <w:sz w:val="24"/>
          <w:szCs w:val="24"/>
        </w:rPr>
        <w:t>Costo promedio por aligación directa</w:t>
      </w:r>
      <w:r w:rsidRPr="00FE231A">
        <w:rPr>
          <w:rFonts w:ascii="Arial Narrow" w:hAnsi="Arial Narrow" w:cs="Tahoma"/>
          <w:i/>
          <w:sz w:val="24"/>
          <w:szCs w:val="24"/>
        </w:rPr>
        <w:t xml:space="preserve">, </w:t>
      </w:r>
      <w:r w:rsidRPr="00FE231A">
        <w:rPr>
          <w:rFonts w:ascii="Arial Narrow" w:hAnsi="Arial Narrow" w:cs="Tahoma"/>
          <w:i/>
          <w:sz w:val="24"/>
          <w:szCs w:val="24"/>
        </w:rPr>
        <w:t>Costo promedio</w:t>
      </w:r>
      <w:r w:rsidRPr="00FE231A">
        <w:rPr>
          <w:rFonts w:ascii="Arial Narrow" w:hAnsi="Arial Narrow" w:cs="Tahoma"/>
          <w:i/>
          <w:sz w:val="24"/>
          <w:szCs w:val="24"/>
        </w:rPr>
        <w:t>, Primeras Entradas Primeras Salidas.</w:t>
      </w:r>
    </w:p>
    <w:p w:rsidR="00DE341C" w:rsidRPr="00FE231A" w:rsidRDefault="00DE341C" w:rsidP="00FE231A">
      <w:pPr>
        <w:pStyle w:val="Fuentedeprrafopredeter"/>
        <w:widowControl w:val="0"/>
        <w:overflowPunct w:val="0"/>
        <w:autoSpaceDE w:val="0"/>
        <w:autoSpaceDN w:val="0"/>
        <w:adjustRightInd w:val="0"/>
        <w:spacing w:after="0" w:line="240" w:lineRule="auto"/>
        <w:jc w:val="both"/>
        <w:rPr>
          <w:rFonts w:ascii="Arial Narrow" w:hAnsi="Arial Narrow" w:cs="Tahoma"/>
          <w:i/>
          <w:sz w:val="24"/>
          <w:szCs w:val="24"/>
        </w:rPr>
      </w:pP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b/>
          <w:bCs/>
          <w:sz w:val="24"/>
          <w:szCs w:val="24"/>
        </w:rPr>
        <w:t>Agente de Retención</w:t>
      </w:r>
      <w:r w:rsidRPr="00FE231A">
        <w:rPr>
          <w:rFonts w:ascii="Arial Narrow" w:hAnsi="Arial Narrow" w:cs="Tahoma"/>
          <w:b/>
          <w:bCs/>
          <w:sz w:val="24"/>
          <w:szCs w:val="24"/>
        </w:rPr>
        <w:t xml:space="preserve">: </w:t>
      </w:r>
      <w:r w:rsidRPr="00FE231A">
        <w:rPr>
          <w:rFonts w:ascii="Arial Narrow" w:hAnsi="Arial Narrow" w:cs="Tahoma"/>
          <w:sz w:val="24"/>
          <w:szCs w:val="24"/>
        </w:rPr>
        <w:t>Es agente de retención todo sujeto obligado por éste Código a retener una parte de las rentas que pague o acredite a otro sujeto así como también aquellos que designe como tales la Administración Tributaria.</w:t>
      </w: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E341C" w:rsidRPr="00FE231A" w:rsidRDefault="00DE341C" w:rsidP="00FE231A">
      <w:pPr>
        <w:pStyle w:val="Fuentedeprrafopredeter"/>
        <w:widowControl w:val="0"/>
        <w:overflowPunct w:val="0"/>
        <w:autoSpaceDE w:val="0"/>
        <w:autoSpaceDN w:val="0"/>
        <w:adjustRightInd w:val="0"/>
        <w:spacing w:after="0" w:line="240" w:lineRule="auto"/>
        <w:jc w:val="both"/>
        <w:rPr>
          <w:rFonts w:ascii="Arial Narrow" w:hAnsi="Arial Narrow" w:cs="Tahoma"/>
          <w:sz w:val="24"/>
          <w:szCs w:val="24"/>
        </w:rPr>
      </w:pPr>
      <w:r w:rsidRPr="00FE231A">
        <w:rPr>
          <w:rFonts w:ascii="Arial Narrow" w:hAnsi="Arial Narrow" w:cs="Tahoma"/>
          <w:sz w:val="24"/>
          <w:szCs w:val="24"/>
        </w:rPr>
        <w:t>También es agente de retención aquel que, previo requerimiento de la Administración Tributaria es obligado a retener una parte de tales rentas a efecto de recaudar los impuestos, intereses y multas que adeude al fisco el sujeto, que las recibe.</w:t>
      </w:r>
    </w:p>
    <w:p w:rsidR="00DE341C" w:rsidRPr="00FE231A" w:rsidRDefault="00DE341C" w:rsidP="00FE231A">
      <w:pPr>
        <w:pStyle w:val="Fuentedeprrafopredeter"/>
        <w:widowControl w:val="0"/>
        <w:overflowPunct w:val="0"/>
        <w:autoSpaceDE w:val="0"/>
        <w:autoSpaceDN w:val="0"/>
        <w:adjustRightInd w:val="0"/>
        <w:spacing w:after="0" w:line="240" w:lineRule="auto"/>
        <w:jc w:val="both"/>
        <w:rPr>
          <w:rFonts w:ascii="Arial Narrow" w:hAnsi="Arial Narrow" w:cs="Tahoma"/>
          <w:sz w:val="24"/>
          <w:szCs w:val="24"/>
        </w:rPr>
      </w:pP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b/>
          <w:bCs/>
          <w:sz w:val="24"/>
          <w:szCs w:val="24"/>
        </w:rPr>
        <w:t>Retención a Sujetos de Impuesto no Domiciliados.</w:t>
      </w: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E341C" w:rsidRPr="00FE231A" w:rsidRDefault="00DE341C" w:rsidP="00FE231A">
      <w:pPr>
        <w:pStyle w:val="Fuentedeprrafopredeter"/>
        <w:widowControl w:val="0"/>
        <w:overflowPunct w:val="0"/>
        <w:autoSpaceDE w:val="0"/>
        <w:autoSpaceDN w:val="0"/>
        <w:adjustRightInd w:val="0"/>
        <w:spacing w:after="0" w:line="240" w:lineRule="auto"/>
        <w:jc w:val="both"/>
        <w:rPr>
          <w:rFonts w:ascii="Arial Narrow" w:hAnsi="Arial Narrow" w:cs="Tahoma"/>
          <w:sz w:val="24"/>
          <w:szCs w:val="24"/>
        </w:rPr>
      </w:pPr>
      <w:r w:rsidRPr="00FE231A">
        <w:rPr>
          <w:rFonts w:ascii="Arial Narrow" w:hAnsi="Arial Narrow" w:cs="Tahoma"/>
          <w:sz w:val="24"/>
          <w:szCs w:val="24"/>
        </w:rPr>
        <w:t xml:space="preserve">Las personas naturales o jurídicas, sucesiones o fideicomisos, uniones de personas o sociedades de hecho domiciliadas en el país, que paguen o acrediten a un sujeto o entidad </w:t>
      </w:r>
      <w:bookmarkStart w:id="0" w:name="_GoBack"/>
      <w:bookmarkEnd w:id="0"/>
      <w:r w:rsidRPr="00FE231A">
        <w:rPr>
          <w:rFonts w:ascii="Arial Narrow" w:hAnsi="Arial Narrow" w:cs="Tahoma"/>
          <w:sz w:val="24"/>
          <w:szCs w:val="24"/>
        </w:rPr>
        <w:t>no domiciliado en la república, sumas provenientes de cualquier clase de renta obtenida en el país, aunque se tratare de anticipos de tales pagos, están obligadas a retenerle por concepto de impuesto sobre la renta como pago definitivo el veinte por ciento (20%) de dichas sumas</w:t>
      </w:r>
    </w:p>
    <w:p w:rsidR="00FE231A" w:rsidRPr="00FE231A" w:rsidRDefault="00FE231A" w:rsidP="00FE231A">
      <w:pPr>
        <w:pStyle w:val="Fuentedeprrafopredeter"/>
        <w:widowControl w:val="0"/>
        <w:autoSpaceDE w:val="0"/>
        <w:autoSpaceDN w:val="0"/>
        <w:adjustRightInd w:val="0"/>
        <w:spacing w:after="0" w:line="240" w:lineRule="auto"/>
        <w:jc w:val="both"/>
        <w:rPr>
          <w:rFonts w:ascii="Arial Narrow" w:hAnsi="Arial Narrow" w:cs="Tahoma"/>
          <w:b/>
          <w:bCs/>
          <w:sz w:val="24"/>
          <w:szCs w:val="24"/>
        </w:rPr>
      </w:pPr>
    </w:p>
    <w:p w:rsidR="00FE231A" w:rsidRPr="00FE231A" w:rsidRDefault="00FE231A" w:rsidP="00FE231A">
      <w:pPr>
        <w:pStyle w:val="Fuentedeprrafopredeter"/>
        <w:widowControl w:val="0"/>
        <w:autoSpaceDE w:val="0"/>
        <w:autoSpaceDN w:val="0"/>
        <w:adjustRightInd w:val="0"/>
        <w:spacing w:after="0" w:line="240" w:lineRule="auto"/>
        <w:jc w:val="both"/>
        <w:rPr>
          <w:rFonts w:ascii="Arial Narrow" w:hAnsi="Arial Narrow" w:cs="Tahoma"/>
          <w:b/>
          <w:bCs/>
          <w:sz w:val="24"/>
          <w:szCs w:val="24"/>
        </w:rPr>
      </w:pPr>
      <w:r w:rsidRPr="00FE231A">
        <w:rPr>
          <w:rFonts w:ascii="Arial Narrow" w:hAnsi="Arial Narrow" w:cs="Tahoma"/>
          <w:b/>
          <w:bCs/>
          <w:sz w:val="24"/>
          <w:szCs w:val="24"/>
        </w:rPr>
        <w:t>Retención sobre premios.</w:t>
      </w:r>
    </w:p>
    <w:p w:rsidR="00FE231A" w:rsidRPr="00FE231A" w:rsidRDefault="00FE231A" w:rsidP="00FE231A">
      <w:pPr>
        <w:pStyle w:val="Fuentedeprrafopredeter"/>
        <w:widowControl w:val="0"/>
        <w:overflowPunct w:val="0"/>
        <w:autoSpaceDE w:val="0"/>
        <w:autoSpaceDN w:val="0"/>
        <w:adjustRightInd w:val="0"/>
        <w:spacing w:after="0" w:line="240" w:lineRule="auto"/>
        <w:jc w:val="both"/>
        <w:rPr>
          <w:rFonts w:ascii="Arial Narrow" w:hAnsi="Arial Narrow" w:cs="Times New Roman"/>
          <w:sz w:val="24"/>
          <w:szCs w:val="24"/>
        </w:rPr>
      </w:pPr>
      <w:r w:rsidRPr="00FE231A">
        <w:rPr>
          <w:rFonts w:ascii="Arial Narrow" w:hAnsi="Arial Narrow" w:cs="Tahoma"/>
          <w:sz w:val="24"/>
          <w:szCs w:val="24"/>
        </w:rPr>
        <w:t>Las personas naturales o jurídicas domiciliadas que paguen o acrediten en la república a cualquier sujeto domiciliado premios o ganancias procedentes de concursos, loterías, rifas, sorteos o juegos de azar o de habilidad, estarán obligadas a retener por concepto de impuesto sobre la renta el quince por ciento (15%) de dicho monto.</w:t>
      </w:r>
    </w:p>
    <w:p w:rsidR="00FE231A" w:rsidRPr="00FE231A" w:rsidRDefault="00FE231A" w:rsidP="00FE231A">
      <w:pPr>
        <w:pStyle w:val="Fuentedeprrafopredeter"/>
        <w:widowControl w:val="0"/>
        <w:overflowPunct w:val="0"/>
        <w:autoSpaceDE w:val="0"/>
        <w:autoSpaceDN w:val="0"/>
        <w:adjustRightInd w:val="0"/>
        <w:spacing w:after="0" w:line="240" w:lineRule="auto"/>
        <w:jc w:val="both"/>
        <w:rPr>
          <w:rFonts w:ascii="Arial Narrow" w:hAnsi="Arial Narrow" w:cs="Times New Roman"/>
          <w:sz w:val="24"/>
          <w:szCs w:val="24"/>
        </w:rPr>
      </w:pPr>
    </w:p>
    <w:p w:rsidR="00DE341C" w:rsidRPr="00FE231A" w:rsidRDefault="00DE341C" w:rsidP="00FE231A">
      <w:pPr>
        <w:pStyle w:val="Fuentedeprrafopredeter"/>
        <w:widowControl w:val="0"/>
        <w:overflowPunct w:val="0"/>
        <w:autoSpaceDE w:val="0"/>
        <w:autoSpaceDN w:val="0"/>
        <w:adjustRightInd w:val="0"/>
        <w:spacing w:after="0" w:line="240" w:lineRule="auto"/>
        <w:jc w:val="both"/>
        <w:rPr>
          <w:rFonts w:ascii="Arial Narrow" w:hAnsi="Arial Narrow" w:cs="Times New Roman"/>
          <w:sz w:val="24"/>
          <w:szCs w:val="24"/>
        </w:rPr>
      </w:pP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E341C" w:rsidRPr="00FE231A" w:rsidRDefault="00DE341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FA6C3E" w:rsidRPr="00FE231A" w:rsidRDefault="00FA6C3E"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FA6C3E" w:rsidRPr="00FE231A" w:rsidRDefault="00FA6C3E"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overflowPunct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overflowPunct w:val="0"/>
        <w:autoSpaceDE w:val="0"/>
        <w:autoSpaceDN w:val="0"/>
        <w:adjustRightInd w:val="0"/>
        <w:spacing w:after="0" w:line="240" w:lineRule="auto"/>
        <w:jc w:val="both"/>
        <w:rPr>
          <w:rFonts w:ascii="Arial Narrow" w:hAnsi="Arial Narrow" w:cs="Times New Roman"/>
          <w:sz w:val="24"/>
          <w:szCs w:val="24"/>
        </w:rPr>
      </w:pPr>
    </w:p>
    <w:p w:rsidR="00D4217C" w:rsidRPr="00FE231A" w:rsidRDefault="00D4217C" w:rsidP="00FE231A">
      <w:pPr>
        <w:pStyle w:val="Fuentedeprrafopredeter"/>
        <w:widowControl w:val="0"/>
        <w:autoSpaceDE w:val="0"/>
        <w:autoSpaceDN w:val="0"/>
        <w:adjustRightInd w:val="0"/>
        <w:spacing w:after="0" w:line="240" w:lineRule="auto"/>
        <w:jc w:val="both"/>
        <w:rPr>
          <w:rFonts w:ascii="Arial Narrow" w:hAnsi="Arial Narrow" w:cs="Times New Roman"/>
          <w:sz w:val="24"/>
          <w:szCs w:val="24"/>
        </w:rPr>
      </w:pPr>
    </w:p>
    <w:p w:rsidR="00CD4440" w:rsidRPr="00FE231A" w:rsidRDefault="00CD4440" w:rsidP="00FE231A">
      <w:pPr>
        <w:spacing w:line="240" w:lineRule="auto"/>
        <w:jc w:val="both"/>
        <w:rPr>
          <w:rFonts w:ascii="Arial Narrow" w:hAnsi="Arial Narrow"/>
          <w:b/>
          <w:sz w:val="24"/>
          <w:szCs w:val="24"/>
        </w:rPr>
      </w:pPr>
    </w:p>
    <w:sectPr w:rsidR="00CD4440" w:rsidRPr="00FE23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E12"/>
    <w:multiLevelType w:val="hybridMultilevel"/>
    <w:tmpl w:val="00001A49"/>
    <w:lvl w:ilvl="0" w:tplc="00005F32">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A72"/>
    <w:rsid w:val="008019F9"/>
    <w:rsid w:val="00C11F28"/>
    <w:rsid w:val="00CD4440"/>
    <w:rsid w:val="00D4217C"/>
    <w:rsid w:val="00DE341C"/>
    <w:rsid w:val="00F96A72"/>
    <w:rsid w:val="00FA6C3E"/>
    <w:rsid w:val="00FE231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909</Words>
  <Characters>5004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mi</cp:lastModifiedBy>
  <cp:revision>1</cp:revision>
  <dcterms:created xsi:type="dcterms:W3CDTF">2013-10-12T03:21:00Z</dcterms:created>
  <dcterms:modified xsi:type="dcterms:W3CDTF">2013-10-12T04:27:00Z</dcterms:modified>
</cp:coreProperties>
</file>