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8CD" w:rsidRPr="00332B0D" w:rsidRDefault="00332B0D" w:rsidP="00842529">
      <w:pPr>
        <w:jc w:val="both"/>
        <w:rPr>
          <w:rFonts w:ascii="Arial Narrow" w:hAnsi="Arial Narrow"/>
          <w:sz w:val="24"/>
          <w:szCs w:val="24"/>
          <w:lang w:val="es-ES"/>
        </w:rPr>
      </w:pPr>
      <w:r w:rsidRPr="00332B0D">
        <w:rPr>
          <w:rFonts w:ascii="Arial Narrow" w:hAnsi="Arial Narrow"/>
          <w:sz w:val="24"/>
          <w:szCs w:val="24"/>
          <w:lang w:val="es-ES"/>
        </w:rPr>
        <w:t>Debido a la creciente expansión que ha registrado en los últimos años el flujo de mercancías entre los diferentes países del mundo, la demanda de bienes y servicios en mercados que antes no estaban abiertos al comercio internacional se ha incrementado, generando con ello la creación de Grupos de Empresas, las cuales se han expandido geográficamente en busca de dichos mercados o de ventajas competitivas que les permitan maximizar sus utilidades.</w:t>
      </w:r>
    </w:p>
    <w:p w:rsidR="00332B0D" w:rsidRPr="00332B0D" w:rsidRDefault="00332B0D" w:rsidP="00842529">
      <w:pPr>
        <w:pStyle w:val="Default"/>
        <w:jc w:val="both"/>
        <w:rPr>
          <w:rFonts w:ascii="Arial Narrow" w:hAnsi="Arial Narrow"/>
        </w:rPr>
      </w:pPr>
      <w:r w:rsidRPr="00332B0D">
        <w:rPr>
          <w:rFonts w:ascii="Arial Narrow" w:hAnsi="Arial Narrow"/>
          <w:b/>
          <w:bCs/>
        </w:rPr>
        <w:t xml:space="preserve">Precio de Transferencia </w:t>
      </w:r>
    </w:p>
    <w:p w:rsidR="00332B0D" w:rsidRPr="00332B0D" w:rsidRDefault="00332B0D" w:rsidP="00842529">
      <w:pPr>
        <w:jc w:val="both"/>
        <w:rPr>
          <w:rFonts w:ascii="Arial Narrow" w:hAnsi="Arial Narrow"/>
          <w:i/>
          <w:iCs/>
          <w:sz w:val="24"/>
          <w:szCs w:val="24"/>
          <w:lang w:val="es-ES"/>
        </w:rPr>
      </w:pPr>
      <w:r w:rsidRPr="00332B0D">
        <w:rPr>
          <w:rFonts w:ascii="Arial Narrow" w:hAnsi="Arial Narrow"/>
          <w:i/>
          <w:iCs/>
          <w:sz w:val="24"/>
          <w:szCs w:val="24"/>
          <w:lang w:val="es-ES"/>
        </w:rPr>
        <w:t>“El precio pactado en la transferencia de bienes tangibles o intangibles, prestación de servicios, o cualquier otra operación realizada entre entidades o sujetos relacionados”.</w:t>
      </w:r>
    </w:p>
    <w:p w:rsidR="00332B0D" w:rsidRPr="00332B0D" w:rsidRDefault="00332B0D" w:rsidP="00842529">
      <w:pPr>
        <w:pStyle w:val="Default"/>
        <w:jc w:val="both"/>
        <w:rPr>
          <w:rFonts w:ascii="Arial Narrow" w:hAnsi="Arial Narrow"/>
        </w:rPr>
      </w:pPr>
      <w:r w:rsidRPr="00332B0D">
        <w:rPr>
          <w:rFonts w:ascii="Arial Narrow" w:hAnsi="Arial Narrow"/>
          <w:b/>
          <w:bCs/>
        </w:rPr>
        <w:t xml:space="preserve">Principio de Libre Competencia </w:t>
      </w:r>
    </w:p>
    <w:p w:rsidR="00332B0D" w:rsidRPr="00332B0D" w:rsidRDefault="00332B0D" w:rsidP="00842529">
      <w:pPr>
        <w:jc w:val="both"/>
        <w:rPr>
          <w:rFonts w:ascii="Arial Narrow" w:hAnsi="Arial Narrow"/>
          <w:i/>
          <w:iCs/>
          <w:sz w:val="24"/>
          <w:szCs w:val="24"/>
          <w:lang w:val="es-ES"/>
        </w:rPr>
      </w:pPr>
      <w:r w:rsidRPr="00332B0D">
        <w:rPr>
          <w:rFonts w:ascii="Arial Narrow" w:hAnsi="Arial Narrow"/>
          <w:i/>
          <w:iCs/>
          <w:sz w:val="24"/>
          <w:szCs w:val="24"/>
          <w:lang w:val="es-ES"/>
        </w:rPr>
        <w:t xml:space="preserve">Este principio considera que “el precio, la utilidad o beneficio que se obtenga en una transacción entre entidades o sujetos relacionados </w:t>
      </w:r>
      <w:r w:rsidRPr="00332B0D">
        <w:rPr>
          <w:rFonts w:ascii="Arial Narrow" w:hAnsi="Arial Narrow"/>
          <w:b/>
          <w:bCs/>
          <w:i/>
          <w:iCs/>
          <w:sz w:val="24"/>
          <w:szCs w:val="24"/>
          <w:lang w:val="es-ES"/>
        </w:rPr>
        <w:t xml:space="preserve">(Operación vinculada) </w:t>
      </w:r>
      <w:r w:rsidRPr="00332B0D">
        <w:rPr>
          <w:rFonts w:ascii="Arial Narrow" w:hAnsi="Arial Narrow"/>
          <w:i/>
          <w:iCs/>
          <w:sz w:val="24"/>
          <w:szCs w:val="24"/>
          <w:lang w:val="es-ES"/>
        </w:rPr>
        <w:t xml:space="preserve">debe ser el precio, utilidad o beneficio que se hubiera obtenido en una transacción comparable entre entidades o sujetos independientes </w:t>
      </w:r>
      <w:r w:rsidRPr="00332B0D">
        <w:rPr>
          <w:rFonts w:ascii="Arial Narrow" w:hAnsi="Arial Narrow"/>
          <w:b/>
          <w:bCs/>
          <w:i/>
          <w:iCs/>
          <w:sz w:val="24"/>
          <w:szCs w:val="24"/>
          <w:lang w:val="es-ES"/>
        </w:rPr>
        <w:t>(Operación no Vinculada)</w:t>
      </w:r>
      <w:r w:rsidRPr="00332B0D">
        <w:rPr>
          <w:rFonts w:ascii="Arial Narrow" w:hAnsi="Arial Narrow"/>
          <w:i/>
          <w:iCs/>
          <w:sz w:val="24"/>
          <w:szCs w:val="24"/>
          <w:lang w:val="es-ES"/>
        </w:rPr>
        <w:t>”.</w:t>
      </w:r>
    </w:p>
    <w:p w:rsidR="00332B0D" w:rsidRPr="00332B0D" w:rsidRDefault="00332B0D" w:rsidP="00842529">
      <w:pPr>
        <w:pStyle w:val="Default"/>
        <w:jc w:val="both"/>
        <w:rPr>
          <w:rFonts w:ascii="Arial Narrow" w:hAnsi="Arial Narrow"/>
        </w:rPr>
      </w:pPr>
      <w:r w:rsidRPr="00332B0D">
        <w:rPr>
          <w:rFonts w:ascii="Arial Narrow" w:hAnsi="Arial Narrow"/>
        </w:rPr>
        <w:t xml:space="preserve">Los precios de transferencia pueden visualizarse bajo dos enfoques: </w:t>
      </w:r>
    </w:p>
    <w:p w:rsidR="00332B0D" w:rsidRPr="00332B0D" w:rsidRDefault="00332B0D" w:rsidP="00842529">
      <w:pPr>
        <w:pStyle w:val="Default"/>
        <w:spacing w:after="586"/>
        <w:jc w:val="both"/>
        <w:rPr>
          <w:rFonts w:ascii="Arial Narrow" w:hAnsi="Arial Narrow"/>
        </w:rPr>
      </w:pPr>
      <w:proofErr w:type="gramStart"/>
      <w:r w:rsidRPr="00332B0D">
        <w:rPr>
          <w:rFonts w:ascii="Arial Narrow" w:hAnsi="Arial Narrow"/>
        </w:rPr>
        <w:t>1.Para</w:t>
      </w:r>
      <w:proofErr w:type="gramEnd"/>
      <w:r w:rsidRPr="00332B0D">
        <w:rPr>
          <w:rFonts w:ascii="Arial Narrow" w:hAnsi="Arial Narrow"/>
        </w:rPr>
        <w:t xml:space="preserve"> los </w:t>
      </w:r>
      <w:r w:rsidRPr="00332B0D">
        <w:rPr>
          <w:rFonts w:ascii="Arial Narrow" w:hAnsi="Arial Narrow"/>
          <w:b/>
          <w:bCs/>
        </w:rPr>
        <w:t xml:space="preserve">grandes grupos multinacionales </w:t>
      </w:r>
      <w:r w:rsidRPr="00332B0D">
        <w:rPr>
          <w:rFonts w:ascii="Arial Narrow" w:hAnsi="Arial Narrow"/>
        </w:rPr>
        <w:t xml:space="preserve">el objetivo es buscar territorios, jurisdicciones o países en donde puedan cumplir sus obligaciones fiscales con tasas reducidas, con bases gravables sumamente limitadas y de ser posible, con la mas baja precisión fiscal, optimizando así sus utilidades. </w:t>
      </w:r>
    </w:p>
    <w:p w:rsidR="00332B0D" w:rsidRDefault="00332B0D" w:rsidP="00842529">
      <w:pPr>
        <w:pStyle w:val="Default"/>
        <w:jc w:val="both"/>
        <w:rPr>
          <w:rFonts w:ascii="Arial Narrow" w:hAnsi="Arial Narrow"/>
        </w:rPr>
      </w:pPr>
      <w:r w:rsidRPr="00332B0D">
        <w:rPr>
          <w:rFonts w:ascii="Arial Narrow" w:hAnsi="Arial Narrow"/>
        </w:rPr>
        <w:t xml:space="preserve">2.Por su cuenta las </w:t>
      </w:r>
      <w:r w:rsidRPr="00332B0D">
        <w:rPr>
          <w:rFonts w:ascii="Arial Narrow" w:hAnsi="Arial Narrow"/>
          <w:b/>
          <w:bCs/>
        </w:rPr>
        <w:t xml:space="preserve">administraciones tributarias </w:t>
      </w:r>
      <w:r w:rsidRPr="00332B0D">
        <w:rPr>
          <w:rFonts w:ascii="Arial Narrow" w:hAnsi="Arial Narrow"/>
        </w:rPr>
        <w:t xml:space="preserve">de cada uno de los países del mundo desean gravar la riqueza generada por los sujetos que se encuentran bajo su soberanía fiscal con el objeto que paguen el impuesto que hubiera correspondido, en operaciones realizadas en un mercado abierto, fuera de cualquier manipulación posible. </w:t>
      </w:r>
    </w:p>
    <w:p w:rsidR="00332B0D" w:rsidRDefault="00332B0D" w:rsidP="00842529">
      <w:pPr>
        <w:pStyle w:val="Default"/>
        <w:jc w:val="both"/>
        <w:rPr>
          <w:rFonts w:ascii="Arial Narrow" w:hAnsi="Arial Narrow"/>
        </w:rPr>
      </w:pPr>
    </w:p>
    <w:p w:rsidR="00332B0D" w:rsidRDefault="00332B0D" w:rsidP="00842529">
      <w:pPr>
        <w:pStyle w:val="Default"/>
        <w:jc w:val="both"/>
        <w:rPr>
          <w:rFonts w:ascii="Arial Narrow" w:hAnsi="Arial Narrow"/>
          <w:b/>
          <w:bCs/>
        </w:rPr>
      </w:pPr>
      <w:r w:rsidRPr="00332B0D">
        <w:rPr>
          <w:rFonts w:ascii="Arial Narrow" w:hAnsi="Arial Narrow"/>
          <w:b/>
          <w:bCs/>
        </w:rPr>
        <w:t xml:space="preserve">Presentación Dirección General de Impuestos Internos </w:t>
      </w:r>
    </w:p>
    <w:p w:rsidR="00332B0D" w:rsidRPr="00332B0D" w:rsidRDefault="00332B0D" w:rsidP="00842529">
      <w:pPr>
        <w:pStyle w:val="Default"/>
        <w:jc w:val="both"/>
        <w:rPr>
          <w:rFonts w:ascii="Arial Narrow" w:hAnsi="Arial Narrow"/>
        </w:rPr>
      </w:pPr>
    </w:p>
    <w:p w:rsidR="00332B0D" w:rsidRPr="00332B0D" w:rsidRDefault="00332B0D" w:rsidP="00842529">
      <w:pPr>
        <w:pStyle w:val="Default"/>
        <w:jc w:val="both"/>
        <w:rPr>
          <w:rFonts w:ascii="Arial Narrow" w:hAnsi="Arial Narrow"/>
        </w:rPr>
      </w:pPr>
      <w:r w:rsidRPr="00332B0D">
        <w:rPr>
          <w:rFonts w:ascii="Arial Narrow" w:hAnsi="Arial Narrow"/>
          <w:b/>
          <w:bCs/>
        </w:rPr>
        <w:t xml:space="preserve">UNION EUROPEA </w:t>
      </w:r>
    </w:p>
    <w:p w:rsidR="00332B0D" w:rsidRPr="00332B0D" w:rsidRDefault="00332B0D" w:rsidP="00842529">
      <w:pPr>
        <w:pStyle w:val="Default"/>
        <w:jc w:val="both"/>
        <w:rPr>
          <w:rFonts w:ascii="Arial Narrow" w:hAnsi="Arial Narrow"/>
        </w:rPr>
      </w:pPr>
      <w:r w:rsidRPr="00332B0D">
        <w:rPr>
          <w:rFonts w:ascii="Arial Narrow" w:hAnsi="Arial Narrow"/>
        </w:rPr>
        <w:t xml:space="preserve">El Foro conjunto de la Unión Europea sobre los precios de transferencia, emitió el 27 de junio de 2006, un Código de Conducta sobre la documentación relacionada con los precios de transferencia, la cual comprende una documentación armonizada y parcialmente centralizada sobre precios de transferencia para las empresas asociadas de la Unión Europea. </w:t>
      </w:r>
    </w:p>
    <w:p w:rsidR="00332B0D" w:rsidRPr="00332B0D" w:rsidRDefault="00332B0D" w:rsidP="00842529">
      <w:pPr>
        <w:pStyle w:val="Default"/>
        <w:jc w:val="both"/>
        <w:rPr>
          <w:rFonts w:ascii="Arial Narrow" w:hAnsi="Arial Narrow"/>
        </w:rPr>
      </w:pPr>
      <w:r w:rsidRPr="00332B0D">
        <w:rPr>
          <w:rFonts w:ascii="Arial Narrow" w:hAnsi="Arial Narrow"/>
          <w:b/>
          <w:bCs/>
        </w:rPr>
        <w:t xml:space="preserve">CENTROAMERICA </w:t>
      </w:r>
    </w:p>
    <w:p w:rsidR="00332B0D" w:rsidRPr="00332B0D" w:rsidRDefault="00332B0D" w:rsidP="00842529">
      <w:pPr>
        <w:pStyle w:val="Default"/>
        <w:jc w:val="both"/>
        <w:rPr>
          <w:rFonts w:ascii="Arial Narrow" w:hAnsi="Arial Narrow"/>
        </w:rPr>
      </w:pPr>
      <w:r w:rsidRPr="00332B0D">
        <w:rPr>
          <w:rFonts w:ascii="Arial Narrow" w:hAnsi="Arial Narrow"/>
        </w:rPr>
        <w:t xml:space="preserve">A nivel centroamericano se cuenta con: </w:t>
      </w:r>
    </w:p>
    <w:p w:rsidR="00332B0D" w:rsidRPr="00332B0D" w:rsidRDefault="00332B0D" w:rsidP="00842529">
      <w:pPr>
        <w:pStyle w:val="Default"/>
        <w:spacing w:after="49"/>
        <w:jc w:val="both"/>
        <w:rPr>
          <w:rFonts w:ascii="Arial Narrow" w:hAnsi="Arial Narrow"/>
        </w:rPr>
      </w:pPr>
      <w:r w:rsidRPr="00332B0D">
        <w:rPr>
          <w:rFonts w:ascii="Arial Narrow" w:hAnsi="Arial Narrow"/>
        </w:rPr>
        <w:t xml:space="preserve">a)Modelo de Ley sobre precios de transferencia elaborado el 21 de febrero de 2007, en la XI Reunión del Comité de Ministros de Hacienda o Finanzas de Centroamérica, Panamá y República Dominicana, celebrada en San José, Costa Rica. </w:t>
      </w:r>
    </w:p>
    <w:p w:rsidR="00332B0D" w:rsidRPr="00332B0D" w:rsidRDefault="00332B0D" w:rsidP="00842529">
      <w:pPr>
        <w:pStyle w:val="Default"/>
        <w:jc w:val="both"/>
        <w:rPr>
          <w:rFonts w:ascii="Arial Narrow" w:hAnsi="Arial Narrow"/>
        </w:rPr>
      </w:pPr>
      <w:proofErr w:type="gramStart"/>
      <w:r w:rsidRPr="00332B0D">
        <w:rPr>
          <w:rFonts w:ascii="Arial Narrow" w:hAnsi="Arial Narrow"/>
        </w:rPr>
        <w:t>b)Modelo</w:t>
      </w:r>
      <w:proofErr w:type="gramEnd"/>
      <w:r w:rsidRPr="00332B0D">
        <w:rPr>
          <w:rFonts w:ascii="Arial Narrow" w:hAnsi="Arial Narrow"/>
        </w:rPr>
        <w:t xml:space="preserve"> de Convenio para evitar la doble imposición, para Centroamérica y República Dominicana. </w:t>
      </w:r>
    </w:p>
    <w:p w:rsidR="00332B0D" w:rsidRPr="00332B0D" w:rsidRDefault="00332B0D" w:rsidP="00842529">
      <w:pPr>
        <w:jc w:val="both"/>
        <w:rPr>
          <w:rFonts w:ascii="Arial Narrow" w:hAnsi="Arial Narrow"/>
          <w:i/>
          <w:iCs/>
          <w:sz w:val="24"/>
          <w:szCs w:val="24"/>
          <w:lang w:val="es-ES"/>
        </w:rPr>
      </w:pPr>
      <w:r w:rsidRPr="00332B0D">
        <w:rPr>
          <w:rFonts w:ascii="Arial Narrow" w:hAnsi="Arial Narrow"/>
          <w:b/>
          <w:bCs/>
          <w:i/>
          <w:iCs/>
          <w:sz w:val="24"/>
          <w:szCs w:val="24"/>
          <w:lang w:val="es-ES"/>
        </w:rPr>
        <w:t xml:space="preserve">Determinación de Precios Artículo 62-A del C.T. </w:t>
      </w:r>
      <w:r w:rsidRPr="00332B0D">
        <w:rPr>
          <w:rFonts w:ascii="Arial Narrow" w:hAnsi="Arial Narrow"/>
          <w:i/>
          <w:iCs/>
          <w:sz w:val="24"/>
          <w:szCs w:val="24"/>
          <w:lang w:val="es-ES"/>
        </w:rPr>
        <w:t>Para efectos tributarios, los contribuyentes que celebren operaciones o transacciones con sujetos relacionados, estarán obligados a determinar los precios y montos de las contraprestaciones, considerando para esas operaciones los precios de mercado utilizados en transferencias de bienes o prestación de servicios de la misma especie, entre sujetos independientes.</w:t>
      </w:r>
    </w:p>
    <w:p w:rsidR="00332B0D" w:rsidRPr="00332B0D" w:rsidRDefault="00332B0D" w:rsidP="00842529">
      <w:pPr>
        <w:jc w:val="both"/>
        <w:rPr>
          <w:rFonts w:ascii="Arial Narrow" w:hAnsi="Arial Narrow"/>
          <w:i/>
          <w:iCs/>
          <w:sz w:val="24"/>
          <w:szCs w:val="24"/>
          <w:lang w:val="es-ES"/>
        </w:rPr>
      </w:pPr>
    </w:p>
    <w:p w:rsidR="00332B0D" w:rsidRPr="00332B0D" w:rsidRDefault="00332B0D" w:rsidP="00842529">
      <w:pPr>
        <w:pStyle w:val="Default"/>
        <w:jc w:val="both"/>
        <w:rPr>
          <w:rFonts w:ascii="Arial Narrow" w:hAnsi="Arial Narrow"/>
        </w:rPr>
      </w:pPr>
      <w:r w:rsidRPr="00332B0D">
        <w:rPr>
          <w:rFonts w:ascii="Arial Narrow" w:hAnsi="Arial Narrow"/>
          <w:b/>
          <w:bCs/>
        </w:rPr>
        <w:lastRenderedPageBreak/>
        <w:t xml:space="preserve">Presentación Dirección General de Impuestos Internos </w:t>
      </w:r>
      <w:r w:rsidRPr="00332B0D">
        <w:rPr>
          <w:rFonts w:ascii="Arial Narrow" w:hAnsi="Arial Narrow"/>
          <w:b/>
          <w:bCs/>
          <w:i/>
          <w:iCs/>
        </w:rPr>
        <w:t xml:space="preserve">Sujetos Relacionados Artículo 199-C del C.T. </w:t>
      </w:r>
      <w:r w:rsidRPr="00332B0D">
        <w:rPr>
          <w:rFonts w:ascii="Arial Narrow" w:hAnsi="Arial Narrow"/>
          <w:i/>
          <w:iCs/>
        </w:rPr>
        <w:t xml:space="preserve">Para efectos de lo dispuesto en este Código y demás leyes tributarias se entenderá como sujetos relacionados: </w:t>
      </w:r>
    </w:p>
    <w:p w:rsidR="00332B0D" w:rsidRPr="00332B0D" w:rsidRDefault="00332B0D" w:rsidP="00842529">
      <w:pPr>
        <w:pStyle w:val="Default"/>
        <w:spacing w:after="529"/>
        <w:jc w:val="both"/>
        <w:rPr>
          <w:rFonts w:ascii="Arial Narrow" w:hAnsi="Arial Narrow"/>
        </w:rPr>
      </w:pPr>
      <w:proofErr w:type="gramStart"/>
      <w:r w:rsidRPr="00332B0D">
        <w:rPr>
          <w:rFonts w:ascii="Arial Narrow" w:hAnsi="Arial Narrow"/>
          <w:i/>
          <w:iCs/>
        </w:rPr>
        <w:t>a)Cuando</w:t>
      </w:r>
      <w:proofErr w:type="gramEnd"/>
      <w:r w:rsidRPr="00332B0D">
        <w:rPr>
          <w:rFonts w:ascii="Arial Narrow" w:hAnsi="Arial Narrow"/>
          <w:i/>
          <w:iCs/>
        </w:rPr>
        <w:t xml:space="preserve"> uno de ellos dirija o controle la otra, o posea, directa o indirectamente, al menos el 25% de su capital social o de sus derechos de voto. b) Cuando cinco o menos personas dirijan o controlen ambas personas, o posean en su conjunto, directa o indirectamente, al menos el 25% de participación en el capital social o los derechos de voto de ambas personas. </w:t>
      </w:r>
    </w:p>
    <w:p w:rsidR="00332B0D" w:rsidRPr="00332B0D" w:rsidRDefault="00332B0D" w:rsidP="00842529">
      <w:pPr>
        <w:pStyle w:val="Default"/>
        <w:jc w:val="both"/>
        <w:rPr>
          <w:rFonts w:ascii="Arial Narrow" w:hAnsi="Arial Narrow"/>
        </w:rPr>
      </w:pPr>
      <w:proofErr w:type="gramStart"/>
      <w:r w:rsidRPr="00332B0D">
        <w:rPr>
          <w:rFonts w:ascii="Arial Narrow" w:hAnsi="Arial Narrow"/>
          <w:i/>
          <w:iCs/>
        </w:rPr>
        <w:t>c)Cuando</w:t>
      </w:r>
      <w:proofErr w:type="gramEnd"/>
      <w:r w:rsidRPr="00332B0D">
        <w:rPr>
          <w:rFonts w:ascii="Arial Narrow" w:hAnsi="Arial Narrow"/>
          <w:i/>
          <w:iCs/>
        </w:rPr>
        <w:t xml:space="preserve"> sean sociedades que pertenezcan a una misma unidad de decisión o grupo empresarial. </w:t>
      </w:r>
    </w:p>
    <w:p w:rsidR="00332B0D" w:rsidRPr="00332B0D" w:rsidRDefault="00332B0D" w:rsidP="00842529">
      <w:pPr>
        <w:jc w:val="both"/>
        <w:rPr>
          <w:rFonts w:ascii="Arial Narrow" w:hAnsi="Arial Narrow"/>
          <w:sz w:val="24"/>
          <w:szCs w:val="24"/>
          <w:lang w:val="es-ES"/>
        </w:rPr>
      </w:pPr>
    </w:p>
    <w:p w:rsidR="00332B0D" w:rsidRPr="00332B0D" w:rsidRDefault="00332B0D" w:rsidP="00842529">
      <w:pPr>
        <w:pStyle w:val="Default"/>
        <w:jc w:val="both"/>
        <w:rPr>
          <w:rFonts w:ascii="Arial Narrow" w:hAnsi="Arial Narrow"/>
        </w:rPr>
      </w:pPr>
      <w:r w:rsidRPr="00332B0D">
        <w:rPr>
          <w:rFonts w:ascii="Arial Narrow" w:hAnsi="Arial Narrow"/>
          <w:b/>
          <w:bCs/>
          <w:i/>
          <w:iCs/>
        </w:rPr>
        <w:t xml:space="preserve">Sujetos domiciliados en Países de baja o nula tributación o Paraísos Fiscales Artículo 199-D, inciso último del C.T. </w:t>
      </w:r>
      <w:r w:rsidRPr="00332B0D">
        <w:rPr>
          <w:rFonts w:ascii="Arial Narrow" w:hAnsi="Arial Narrow"/>
          <w:i/>
          <w:iCs/>
        </w:rPr>
        <w:t xml:space="preserve">Las operaciones con sujetos domiciliados, constituidos o ubicados en países, estados o territorios con regímenes fiscales preferentes, de baja o nula tributación o paraísos fiscales, no constituyen operaciones entre partes independientes. </w:t>
      </w:r>
      <w:r w:rsidRPr="00332B0D">
        <w:rPr>
          <w:rFonts w:ascii="Arial Narrow" w:hAnsi="Arial Narrow"/>
          <w:b/>
          <w:bCs/>
          <w:i/>
          <w:iCs/>
        </w:rPr>
        <w:t xml:space="preserve">Artículo 62-A, </w:t>
      </w:r>
      <w:proofErr w:type="gramStart"/>
      <w:r w:rsidRPr="00332B0D">
        <w:rPr>
          <w:rFonts w:ascii="Arial Narrow" w:hAnsi="Arial Narrow"/>
          <w:b/>
          <w:bCs/>
          <w:i/>
          <w:iCs/>
        </w:rPr>
        <w:t>inciso tercero y siguientes</w:t>
      </w:r>
      <w:proofErr w:type="gramEnd"/>
      <w:r w:rsidRPr="00332B0D">
        <w:rPr>
          <w:rFonts w:ascii="Arial Narrow" w:hAnsi="Arial Narrow"/>
          <w:b/>
          <w:bCs/>
          <w:i/>
          <w:iCs/>
        </w:rPr>
        <w:t xml:space="preserve"> del C.T. </w:t>
      </w:r>
      <w:r w:rsidRPr="00332B0D">
        <w:rPr>
          <w:rFonts w:ascii="Arial Narrow" w:hAnsi="Arial Narrow"/>
          <w:i/>
          <w:iCs/>
        </w:rPr>
        <w:t xml:space="preserve">Para efectos de este Código y las leyes tributarias, se considerarán regímenes fiscales preferentes, de baja o nula tributación o paraísos fiscales, los que se encuentren en alguna de las siguientes situaciones: </w:t>
      </w:r>
    </w:p>
    <w:p w:rsidR="00332B0D" w:rsidRPr="00332B0D" w:rsidRDefault="00332B0D" w:rsidP="00842529">
      <w:pPr>
        <w:pStyle w:val="Default"/>
        <w:spacing w:after="46"/>
        <w:jc w:val="both"/>
        <w:rPr>
          <w:rFonts w:ascii="Arial Narrow" w:hAnsi="Arial Narrow"/>
        </w:rPr>
      </w:pPr>
      <w:proofErr w:type="spellStart"/>
      <w:r w:rsidRPr="00332B0D">
        <w:rPr>
          <w:rFonts w:ascii="Arial Narrow" w:hAnsi="Arial Narrow"/>
          <w:i/>
          <w:iCs/>
        </w:rPr>
        <w:t>I.Aquellos</w:t>
      </w:r>
      <w:proofErr w:type="spellEnd"/>
      <w:r w:rsidRPr="00332B0D">
        <w:rPr>
          <w:rFonts w:ascii="Arial Narrow" w:hAnsi="Arial Narrow"/>
          <w:i/>
          <w:iCs/>
        </w:rPr>
        <w:t xml:space="preserve"> que no están gravados en el extranjero, o lo están con un Impuesto sobre la Renta calculado sobre ingresos o renta neta o imponible, inferior al 80% del Impuesto sobre la Renta que se causaría y pagaría en El Salvador; </w:t>
      </w:r>
    </w:p>
    <w:p w:rsidR="00332B0D" w:rsidRPr="00332B0D" w:rsidRDefault="00332B0D" w:rsidP="00842529">
      <w:pPr>
        <w:pStyle w:val="Default"/>
        <w:jc w:val="both"/>
        <w:rPr>
          <w:rFonts w:ascii="Arial Narrow" w:hAnsi="Arial Narrow"/>
        </w:rPr>
      </w:pPr>
      <w:proofErr w:type="spellStart"/>
      <w:r w:rsidRPr="00332B0D">
        <w:rPr>
          <w:rFonts w:ascii="Arial Narrow" w:hAnsi="Arial Narrow"/>
          <w:i/>
          <w:iCs/>
        </w:rPr>
        <w:t>II.Los</w:t>
      </w:r>
      <w:proofErr w:type="spellEnd"/>
      <w:r w:rsidRPr="00332B0D">
        <w:rPr>
          <w:rFonts w:ascii="Arial Narrow" w:hAnsi="Arial Narrow"/>
          <w:i/>
          <w:iCs/>
        </w:rPr>
        <w:t xml:space="preserve"> que clasifique la Organización para la Cooperación y el Desarrollo Económico (OCDE) y el Grupo de Acción Financiera Internacional (GAFI). </w:t>
      </w:r>
    </w:p>
    <w:p w:rsidR="00332B0D" w:rsidRPr="00332B0D" w:rsidRDefault="00332B0D" w:rsidP="00842529">
      <w:pPr>
        <w:jc w:val="both"/>
        <w:rPr>
          <w:rFonts w:ascii="Arial Narrow" w:hAnsi="Arial Narrow"/>
          <w:sz w:val="24"/>
          <w:szCs w:val="24"/>
          <w:lang w:val="es-ES"/>
        </w:rPr>
      </w:pPr>
    </w:p>
    <w:p w:rsidR="00332B0D" w:rsidRPr="00332B0D" w:rsidRDefault="00332B0D" w:rsidP="00842529">
      <w:pPr>
        <w:pStyle w:val="Default"/>
        <w:jc w:val="both"/>
        <w:rPr>
          <w:rFonts w:ascii="Arial Narrow" w:hAnsi="Arial Narrow"/>
        </w:rPr>
      </w:pPr>
      <w:r w:rsidRPr="00332B0D">
        <w:rPr>
          <w:rFonts w:ascii="Arial Narrow" w:hAnsi="Arial Narrow"/>
          <w:b/>
          <w:bCs/>
        </w:rPr>
        <w:t xml:space="preserve">Guía de Orientación N° DG-001/2011 </w:t>
      </w:r>
    </w:p>
    <w:p w:rsidR="00332B0D" w:rsidRPr="00332B0D" w:rsidRDefault="00332B0D" w:rsidP="00842529">
      <w:pPr>
        <w:jc w:val="both"/>
        <w:rPr>
          <w:rFonts w:ascii="Arial Narrow" w:hAnsi="Arial Narrow"/>
          <w:i/>
          <w:iCs/>
          <w:sz w:val="24"/>
          <w:szCs w:val="24"/>
        </w:rPr>
      </w:pPr>
      <w:r w:rsidRPr="00332B0D">
        <w:rPr>
          <w:rFonts w:ascii="Arial Narrow" w:hAnsi="Arial Narrow"/>
          <w:sz w:val="24"/>
          <w:szCs w:val="24"/>
          <w:lang w:val="es-ES"/>
        </w:rPr>
        <w:t xml:space="preserve">Emitida para </w:t>
      </w:r>
      <w:proofErr w:type="spellStart"/>
      <w:r w:rsidRPr="00332B0D">
        <w:rPr>
          <w:rFonts w:ascii="Arial Narrow" w:hAnsi="Arial Narrow"/>
          <w:sz w:val="24"/>
          <w:szCs w:val="24"/>
          <w:lang w:val="es-ES"/>
        </w:rPr>
        <w:t>para</w:t>
      </w:r>
      <w:proofErr w:type="spellEnd"/>
      <w:r w:rsidRPr="00332B0D">
        <w:rPr>
          <w:rFonts w:ascii="Arial Narrow" w:hAnsi="Arial Narrow"/>
          <w:sz w:val="24"/>
          <w:szCs w:val="24"/>
          <w:lang w:val="es-ES"/>
        </w:rPr>
        <w:t xml:space="preserve"> facilitar a los contribuyentes el reconocimiento de Países, Estados o Territorios con regímenes fiscales preferentes, de baja o nula tributación y paraísos fiscales, en los cuales se encuentren domiciliados, constituidos o ubicados aquellos sujetos con los que efectúen operaciones o transacciones comerciales. </w:t>
      </w:r>
      <w:proofErr w:type="spellStart"/>
      <w:r w:rsidRPr="00332B0D">
        <w:rPr>
          <w:rFonts w:ascii="Arial Narrow" w:hAnsi="Arial Narrow"/>
          <w:i/>
          <w:iCs/>
          <w:sz w:val="24"/>
          <w:szCs w:val="24"/>
        </w:rPr>
        <w:t>Continuación</w:t>
      </w:r>
      <w:proofErr w:type="spellEnd"/>
      <w:r w:rsidRPr="00332B0D">
        <w:rPr>
          <w:rFonts w:ascii="Arial Narrow" w:hAnsi="Arial Narrow"/>
          <w:i/>
          <w:iCs/>
          <w:sz w:val="24"/>
          <w:szCs w:val="24"/>
        </w:rPr>
        <w:t xml:space="preserve"> Art. 62-A </w:t>
      </w:r>
      <w:proofErr w:type="gramStart"/>
      <w:r w:rsidRPr="00332B0D">
        <w:rPr>
          <w:rFonts w:ascii="Arial Narrow" w:hAnsi="Arial Narrow"/>
          <w:i/>
          <w:iCs/>
          <w:sz w:val="24"/>
          <w:szCs w:val="24"/>
        </w:rPr>
        <w:t>del</w:t>
      </w:r>
      <w:proofErr w:type="gramEnd"/>
      <w:r w:rsidRPr="00332B0D">
        <w:rPr>
          <w:rFonts w:ascii="Arial Narrow" w:hAnsi="Arial Narrow"/>
          <w:i/>
          <w:iCs/>
          <w:sz w:val="24"/>
          <w:szCs w:val="24"/>
        </w:rPr>
        <w:t xml:space="preserve"> C.T.</w:t>
      </w:r>
    </w:p>
    <w:p w:rsidR="00332B0D" w:rsidRPr="00332B0D" w:rsidRDefault="00332B0D" w:rsidP="00842529">
      <w:pPr>
        <w:jc w:val="both"/>
        <w:rPr>
          <w:rFonts w:ascii="Arial Narrow" w:hAnsi="Arial Narrow"/>
          <w:i/>
          <w:iCs/>
          <w:sz w:val="24"/>
          <w:szCs w:val="24"/>
          <w:lang w:val="es-ES"/>
        </w:rPr>
      </w:pPr>
      <w:r w:rsidRPr="00332B0D">
        <w:rPr>
          <w:rFonts w:ascii="Arial Narrow" w:hAnsi="Arial Narrow"/>
          <w:b/>
          <w:bCs/>
          <w:i/>
          <w:iCs/>
          <w:sz w:val="24"/>
          <w:szCs w:val="24"/>
          <w:lang w:val="es-ES"/>
        </w:rPr>
        <w:t xml:space="preserve">Artículo 199-B del C.T. </w:t>
      </w:r>
      <w:r w:rsidRPr="00332B0D">
        <w:rPr>
          <w:rFonts w:ascii="Arial Narrow" w:hAnsi="Arial Narrow"/>
          <w:i/>
          <w:iCs/>
          <w:sz w:val="24"/>
          <w:szCs w:val="24"/>
          <w:lang w:val="es-ES"/>
        </w:rPr>
        <w:t>Para efectos de lo dispuesto en el artículo anterior se entenderá por precio de mercado en las operaciones locales, el precio de venta que tengan los bienes o servicios, en negocios o establecimientos ubicados en el país no relacionados con el fiscalizado, que transfieran bienes o presten servicios de la misma especie. En transferencias de bienes o prestaciones de servicios al exterior el precio de mercado lo constituirá, el precio al que otros sujetos distintos al fiscalizado y no relacionados con éste hayan transferido bienes o prestado servicios de la misma especie, desde El Salvador al mismo país de destino.</w:t>
      </w:r>
    </w:p>
    <w:p w:rsidR="00332B0D" w:rsidRPr="00332B0D" w:rsidRDefault="00332B0D" w:rsidP="00842529">
      <w:pPr>
        <w:jc w:val="both"/>
        <w:rPr>
          <w:rFonts w:ascii="Arial Narrow" w:hAnsi="Arial Narrow"/>
          <w:i/>
          <w:iCs/>
          <w:sz w:val="24"/>
          <w:szCs w:val="24"/>
          <w:lang w:val="es-ES"/>
        </w:rPr>
      </w:pPr>
      <w:r w:rsidRPr="00332B0D">
        <w:rPr>
          <w:rFonts w:ascii="Arial Narrow" w:hAnsi="Arial Narrow"/>
          <w:b/>
          <w:bCs/>
          <w:i/>
          <w:iCs/>
          <w:sz w:val="24"/>
          <w:szCs w:val="24"/>
          <w:lang w:val="es-ES"/>
        </w:rPr>
        <w:t xml:space="preserve">Artículo 147, literal e) del C.T. </w:t>
      </w:r>
      <w:r w:rsidRPr="00332B0D">
        <w:rPr>
          <w:rFonts w:ascii="Arial Narrow" w:hAnsi="Arial Narrow"/>
          <w:i/>
          <w:iCs/>
          <w:sz w:val="24"/>
          <w:szCs w:val="24"/>
          <w:lang w:val="es-ES"/>
        </w:rPr>
        <w:t>Las personas o entidades, tengan o no el carácter de contribuyentes, responsables, agentes de retención o percepción, auditores o contadores, deberán conservar en buen orden y estado, por un período de diez años</w:t>
      </w:r>
    </w:p>
    <w:p w:rsidR="00332B0D" w:rsidRPr="00332B0D" w:rsidRDefault="00332B0D" w:rsidP="00842529">
      <w:pPr>
        <w:pStyle w:val="Default"/>
        <w:jc w:val="both"/>
        <w:rPr>
          <w:rFonts w:ascii="Arial Narrow" w:hAnsi="Arial Narrow"/>
        </w:rPr>
      </w:pPr>
      <w:r w:rsidRPr="00332B0D">
        <w:rPr>
          <w:rFonts w:ascii="Arial Narrow" w:hAnsi="Arial Narrow"/>
          <w:b/>
          <w:bCs/>
          <w:i/>
          <w:iCs/>
        </w:rPr>
        <w:t xml:space="preserve">Retención a sujetos de impuesto no domiciliados: </w:t>
      </w:r>
    </w:p>
    <w:p w:rsidR="00332B0D" w:rsidRPr="00332B0D" w:rsidRDefault="00332B0D" w:rsidP="00842529">
      <w:pPr>
        <w:pStyle w:val="Default"/>
        <w:jc w:val="both"/>
        <w:rPr>
          <w:rFonts w:ascii="Arial Narrow" w:hAnsi="Arial Narrow"/>
        </w:rPr>
      </w:pPr>
      <w:r w:rsidRPr="00332B0D">
        <w:rPr>
          <w:rFonts w:ascii="Arial Narrow" w:hAnsi="Arial Narrow"/>
          <w:b/>
          <w:bCs/>
          <w:i/>
          <w:iCs/>
        </w:rPr>
        <w:t xml:space="preserve">Artículo 158, inciso quinto y sexto C.T. </w:t>
      </w:r>
    </w:p>
    <w:p w:rsidR="00332B0D" w:rsidRPr="00332B0D" w:rsidRDefault="00332B0D" w:rsidP="00842529">
      <w:pPr>
        <w:pStyle w:val="Default"/>
        <w:jc w:val="both"/>
        <w:rPr>
          <w:rFonts w:ascii="Arial Narrow" w:hAnsi="Arial Narrow"/>
        </w:rPr>
      </w:pPr>
      <w:r w:rsidRPr="00332B0D">
        <w:rPr>
          <w:rFonts w:ascii="Arial Narrow" w:hAnsi="Arial Narrow"/>
          <w:i/>
          <w:iCs/>
        </w:rPr>
        <w:t xml:space="preserve">Las filiales o sucursales deberán efectuar la retención a que se refiere el presente artículo con carácter de pago definitivo, en el porcentaje previsto en el mismo, por los pagos que realicen </w:t>
      </w:r>
    </w:p>
    <w:sectPr w:rsidR="00332B0D" w:rsidRPr="00332B0D" w:rsidSect="00C5670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32B0D"/>
    <w:rsid w:val="00332B0D"/>
    <w:rsid w:val="003D40F8"/>
    <w:rsid w:val="005A4803"/>
    <w:rsid w:val="00721641"/>
    <w:rsid w:val="007F2E58"/>
    <w:rsid w:val="00842529"/>
    <w:rsid w:val="00A83910"/>
    <w:rsid w:val="00C56707"/>
    <w:rsid w:val="00DC58D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64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1641"/>
    <w:pPr>
      <w:ind w:left="720"/>
      <w:contextualSpacing/>
    </w:pPr>
  </w:style>
  <w:style w:type="paragraph" w:customStyle="1" w:styleId="Default">
    <w:name w:val="Default"/>
    <w:rsid w:val="00332B0D"/>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948</Words>
  <Characters>5219</Characters>
  <Application>Microsoft Office Word</Application>
  <DocSecurity>0</DocSecurity>
  <Lines>43</Lines>
  <Paragraphs>12</Paragraphs>
  <ScaleCrop>false</ScaleCrop>
  <Company>RevolucionUnattended</Company>
  <LinksUpToDate>false</LinksUpToDate>
  <CharactersWithSpaces>6155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2013-10-27T15:51:00Z</dcterms:created>
  <dcterms:modified xsi:type="dcterms:W3CDTF">2013-10-27T16:00:00Z</dcterms:modified>
</cp:coreProperties>
</file>