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775" w:rsidRDefault="00627A2A" w:rsidP="00627A2A">
      <w:pPr>
        <w:jc w:val="center"/>
        <w:rPr>
          <w:rFonts w:ascii="Times New Roman" w:hAnsi="Times New Roman" w:cs="Times New Roman"/>
          <w:b/>
          <w:sz w:val="28"/>
          <w:szCs w:val="28"/>
          <w:u w:val="single"/>
        </w:rPr>
      </w:pPr>
      <w:r w:rsidRPr="00627A2A">
        <w:rPr>
          <w:rFonts w:ascii="Times New Roman" w:hAnsi="Times New Roman" w:cs="Times New Roman"/>
          <w:b/>
          <w:sz w:val="28"/>
          <w:szCs w:val="28"/>
          <w:u w:val="single"/>
        </w:rPr>
        <w:t>Precios de Transferencias</w:t>
      </w:r>
    </w:p>
    <w:p w:rsidR="00627A2A" w:rsidRDefault="00627A2A" w:rsidP="00627A2A">
      <w:pPr>
        <w:jc w:val="center"/>
        <w:rPr>
          <w:rFonts w:ascii="Times New Roman" w:hAnsi="Times New Roman" w:cs="Times New Roman"/>
          <w:b/>
          <w:sz w:val="28"/>
          <w:szCs w:val="28"/>
          <w:u w:val="single"/>
        </w:rPr>
      </w:pPr>
    </w:p>
    <w:p w:rsidR="00627A2A" w:rsidRPr="00627A2A" w:rsidRDefault="00627A2A" w:rsidP="00627A2A">
      <w:pPr>
        <w:spacing w:line="360" w:lineRule="auto"/>
        <w:jc w:val="both"/>
        <w:rPr>
          <w:rFonts w:ascii="Times New Roman" w:hAnsi="Times New Roman" w:cs="Times New Roman"/>
          <w:sz w:val="28"/>
          <w:szCs w:val="28"/>
        </w:rPr>
      </w:pPr>
      <w:r w:rsidRPr="00627A2A">
        <w:rPr>
          <w:rFonts w:ascii="Times New Roman" w:hAnsi="Times New Roman" w:cs="Times New Roman"/>
          <w:sz w:val="28"/>
          <w:szCs w:val="28"/>
        </w:rPr>
        <w:t>“El precio pactado en la transferencia de bienes tangibles o intangibles, prestación de servicios, o cualquier otra operación  realizada entre entidades o sujetos relacionados”.</w:t>
      </w:r>
    </w:p>
    <w:p w:rsidR="00627A2A" w:rsidRPr="00627A2A" w:rsidRDefault="00627A2A" w:rsidP="00627A2A">
      <w:pPr>
        <w:rPr>
          <w:rFonts w:ascii="Times New Roman" w:hAnsi="Times New Roman" w:cs="Times New Roman"/>
          <w:sz w:val="28"/>
          <w:szCs w:val="28"/>
        </w:rPr>
      </w:pPr>
    </w:p>
    <w:p w:rsidR="00627A2A" w:rsidRPr="00627A2A" w:rsidRDefault="00627A2A" w:rsidP="00627A2A">
      <w:pPr>
        <w:rPr>
          <w:rFonts w:ascii="Times New Roman" w:hAnsi="Times New Roman" w:cs="Times New Roman"/>
          <w:sz w:val="28"/>
          <w:szCs w:val="28"/>
        </w:rPr>
      </w:pPr>
      <w:r w:rsidRPr="00627A2A">
        <w:rPr>
          <w:rFonts w:ascii="Times New Roman" w:hAnsi="Times New Roman" w:cs="Times New Roman"/>
          <w:sz w:val="28"/>
          <w:szCs w:val="28"/>
        </w:rPr>
        <w:t xml:space="preserve"> Este precio es relevante, en el ámbito tributario, cuando las entidades que pactan el precio tienen vínculos de propiedad o de administración entre sí, entidades relacionadas, lo que podría facilitar que la fijación del precio no se realice en las mismas condiciones que hubiesen sido utilizadas por entidades que no mantengan estos vínculos, terceros, o independientes.</w:t>
      </w:r>
    </w:p>
    <w:p w:rsidR="00627A2A" w:rsidRPr="00627A2A" w:rsidRDefault="00627A2A" w:rsidP="00627A2A">
      <w:pPr>
        <w:rPr>
          <w:rFonts w:ascii="Times New Roman" w:hAnsi="Times New Roman" w:cs="Times New Roman"/>
          <w:sz w:val="28"/>
          <w:szCs w:val="28"/>
        </w:rPr>
      </w:pPr>
    </w:p>
    <w:p w:rsidR="00627A2A" w:rsidRDefault="00627A2A" w:rsidP="00627A2A">
      <w:pPr>
        <w:rPr>
          <w:rFonts w:ascii="Times New Roman" w:hAnsi="Times New Roman" w:cs="Times New Roman"/>
          <w:sz w:val="28"/>
          <w:szCs w:val="28"/>
        </w:rPr>
      </w:pPr>
      <w:r w:rsidRPr="00627A2A">
        <w:rPr>
          <w:rFonts w:ascii="Times New Roman" w:hAnsi="Times New Roman" w:cs="Times New Roman"/>
          <w:sz w:val="28"/>
          <w:szCs w:val="28"/>
        </w:rPr>
        <w:t xml:space="preserve"> Esto implica que, en caso de transacciones entre entidades relacionadas, el precio de transferencia de bienes, servicios o derechos no siempre sigue las reglas de una economía de mercado; es decir, no siempre se regula mediante la oferta y la demanda. De acuerdo con ello, las normativas de precios de transferencia relativas a impuestos que se han ido estableciendo en todo el mundo en las dos últimas décadas buscan asegurar, para los países que las han incorporado a sus regímenes legales, que su recaudación de impuestos sobre la renta sea la máxima posible dentro de un ámbito de reglas eminentemente técnicas y de aceptación global.</w:t>
      </w:r>
    </w:p>
    <w:p w:rsidR="00627A2A" w:rsidRDefault="00627A2A" w:rsidP="00627A2A">
      <w:pPr>
        <w:rPr>
          <w:rFonts w:ascii="Times New Roman" w:hAnsi="Times New Roman" w:cs="Times New Roman"/>
          <w:sz w:val="28"/>
          <w:szCs w:val="28"/>
        </w:rPr>
      </w:pPr>
    </w:p>
    <w:p w:rsidR="00627A2A" w:rsidRPr="00627A2A" w:rsidRDefault="00627A2A" w:rsidP="00627A2A">
      <w:pPr>
        <w:rPr>
          <w:rFonts w:ascii="Times New Roman" w:hAnsi="Times New Roman" w:cs="Times New Roman"/>
          <w:b/>
          <w:sz w:val="28"/>
          <w:szCs w:val="28"/>
        </w:rPr>
      </w:pPr>
      <w:r w:rsidRPr="00627A2A">
        <w:rPr>
          <w:rFonts w:ascii="Times New Roman" w:hAnsi="Times New Roman" w:cs="Times New Roman"/>
          <w:b/>
          <w:sz w:val="28"/>
          <w:szCs w:val="28"/>
        </w:rPr>
        <w:t>Base Legal</w:t>
      </w:r>
    </w:p>
    <w:p w:rsidR="00627A2A" w:rsidRDefault="00627A2A" w:rsidP="00627A2A">
      <w:pPr>
        <w:pStyle w:val="Default"/>
      </w:pPr>
    </w:p>
    <w:p w:rsidR="00627A2A" w:rsidRDefault="00627A2A" w:rsidP="00627A2A">
      <w:pPr>
        <w:pStyle w:val="Default"/>
      </w:pPr>
      <w:r>
        <w:t xml:space="preserve"> </w:t>
      </w:r>
    </w:p>
    <w:p w:rsidR="00627A2A" w:rsidRPr="00627A2A" w:rsidRDefault="00627A2A" w:rsidP="00627A2A">
      <w:pPr>
        <w:pStyle w:val="Default"/>
        <w:rPr>
          <w:rFonts w:ascii="Times New Roman" w:hAnsi="Times New Roman" w:cs="Times New Roman"/>
          <w:sz w:val="28"/>
          <w:szCs w:val="28"/>
        </w:rPr>
      </w:pPr>
      <w:r w:rsidRPr="00627A2A">
        <w:rPr>
          <w:rFonts w:ascii="Times New Roman" w:hAnsi="Times New Roman" w:cs="Times New Roman"/>
          <w:b/>
          <w:bCs/>
          <w:sz w:val="28"/>
          <w:szCs w:val="28"/>
        </w:rPr>
        <w:t xml:space="preserve">Estimación de la base imponible </w:t>
      </w:r>
    </w:p>
    <w:p w:rsidR="00627A2A" w:rsidRPr="00627A2A" w:rsidRDefault="00627A2A" w:rsidP="00627A2A">
      <w:pPr>
        <w:pStyle w:val="Default"/>
        <w:rPr>
          <w:rFonts w:ascii="Times New Roman" w:hAnsi="Times New Roman" w:cs="Times New Roman"/>
          <w:sz w:val="28"/>
          <w:szCs w:val="28"/>
        </w:rPr>
      </w:pPr>
      <w:r w:rsidRPr="00627A2A">
        <w:rPr>
          <w:rFonts w:ascii="Times New Roman" w:hAnsi="Times New Roman" w:cs="Times New Roman"/>
          <w:sz w:val="28"/>
          <w:szCs w:val="28"/>
        </w:rPr>
        <w:t xml:space="preserve">Según el artículo 199-a. establece las facultades de la administración tributaria para efectuar la estimación de la base imponible del impuesto a la transferencia de bienes muebles y a la prestación Seminario de Auditoría </w:t>
      </w:r>
    </w:p>
    <w:p w:rsidR="00627A2A" w:rsidRPr="00627A2A" w:rsidRDefault="00627A2A" w:rsidP="00627A2A">
      <w:pPr>
        <w:pStyle w:val="Default"/>
        <w:rPr>
          <w:rFonts w:ascii="Times New Roman" w:hAnsi="Times New Roman" w:cs="Times New Roman"/>
          <w:color w:val="auto"/>
          <w:sz w:val="28"/>
          <w:szCs w:val="28"/>
        </w:rPr>
      </w:pPr>
    </w:p>
    <w:p w:rsidR="00627A2A" w:rsidRPr="00627A2A" w:rsidRDefault="00627A2A" w:rsidP="00627A2A">
      <w:pPr>
        <w:pStyle w:val="Default"/>
        <w:pageBreakBefore/>
        <w:rPr>
          <w:rFonts w:ascii="Times New Roman" w:hAnsi="Times New Roman" w:cs="Times New Roman"/>
          <w:color w:val="auto"/>
          <w:sz w:val="28"/>
          <w:szCs w:val="28"/>
        </w:rPr>
      </w:pPr>
    </w:p>
    <w:p w:rsidR="00627A2A" w:rsidRDefault="00627A2A" w:rsidP="00627A2A">
      <w:pPr>
        <w:pStyle w:val="Default"/>
        <w:rPr>
          <w:rFonts w:ascii="Times New Roman" w:hAnsi="Times New Roman" w:cs="Times New Roman"/>
          <w:color w:val="auto"/>
          <w:sz w:val="28"/>
          <w:szCs w:val="28"/>
        </w:rPr>
      </w:pPr>
      <w:r w:rsidRPr="00627A2A">
        <w:rPr>
          <w:rFonts w:ascii="Times New Roman" w:hAnsi="Times New Roman" w:cs="Times New Roman"/>
          <w:color w:val="auto"/>
          <w:sz w:val="28"/>
          <w:szCs w:val="28"/>
        </w:rPr>
        <w:t xml:space="preserve">de servicios, si por cualquier razón el precio de la transferencia de bienes muebles corporales o el monto de la remuneración de la prestación de servicios no fueren fidedignos o resultaren inferiores o superiores al corriente de mercado, sea que se trate de bienes gravados, exentos o no afectos al referido impuesto, respectivamente, o no se hubieran emitido los documentos a que se refiere el código tributario u otras las leyes correspondientes, o el valor de las operaciones no estuviere determinado o no fuere o no pudiere ser conocido. </w:t>
      </w:r>
    </w:p>
    <w:p w:rsidR="00627A2A" w:rsidRPr="00627A2A" w:rsidRDefault="00627A2A" w:rsidP="00627A2A">
      <w:pPr>
        <w:pStyle w:val="Default"/>
        <w:rPr>
          <w:rFonts w:ascii="Times New Roman" w:hAnsi="Times New Roman" w:cs="Times New Roman"/>
          <w:color w:val="auto"/>
          <w:sz w:val="28"/>
          <w:szCs w:val="28"/>
        </w:rPr>
      </w:pPr>
    </w:p>
    <w:p w:rsidR="00627A2A" w:rsidRPr="00627A2A" w:rsidRDefault="00627A2A" w:rsidP="00627A2A">
      <w:pPr>
        <w:pStyle w:val="Default"/>
        <w:rPr>
          <w:rFonts w:ascii="Times New Roman" w:hAnsi="Times New Roman" w:cs="Times New Roman"/>
          <w:color w:val="auto"/>
          <w:sz w:val="28"/>
          <w:szCs w:val="28"/>
        </w:rPr>
      </w:pPr>
      <w:r w:rsidRPr="00627A2A">
        <w:rPr>
          <w:rFonts w:ascii="Times New Roman" w:hAnsi="Times New Roman" w:cs="Times New Roman"/>
          <w:b/>
          <w:bCs/>
          <w:color w:val="auto"/>
          <w:sz w:val="28"/>
          <w:szCs w:val="28"/>
        </w:rPr>
        <w:t xml:space="preserve">Precio de mercado </w:t>
      </w:r>
    </w:p>
    <w:p w:rsidR="00627A2A" w:rsidRPr="00627A2A" w:rsidRDefault="00627A2A" w:rsidP="00627A2A">
      <w:pPr>
        <w:pStyle w:val="Default"/>
        <w:rPr>
          <w:rFonts w:ascii="Times New Roman" w:hAnsi="Times New Roman" w:cs="Times New Roman"/>
          <w:color w:val="auto"/>
          <w:sz w:val="28"/>
          <w:szCs w:val="28"/>
        </w:rPr>
      </w:pPr>
    </w:p>
    <w:p w:rsidR="00627A2A" w:rsidRPr="00627A2A" w:rsidRDefault="00627A2A" w:rsidP="00627A2A">
      <w:pPr>
        <w:pStyle w:val="Default"/>
        <w:rPr>
          <w:rFonts w:ascii="Times New Roman" w:hAnsi="Times New Roman" w:cs="Times New Roman"/>
          <w:color w:val="auto"/>
          <w:sz w:val="28"/>
          <w:szCs w:val="28"/>
        </w:rPr>
      </w:pPr>
      <w:r w:rsidRPr="00627A2A">
        <w:rPr>
          <w:rFonts w:ascii="Times New Roman" w:hAnsi="Times New Roman" w:cs="Times New Roman"/>
          <w:color w:val="auto"/>
          <w:sz w:val="28"/>
          <w:szCs w:val="28"/>
        </w:rPr>
        <w:t xml:space="preserve">Según el Artículo 199-b. establece que se entenderá por precio de mercado en las operaciones locales, el precio de venta que tengan los bienes o servicios, en negocios o establecimientos ubicados en el país no relacionados con el fiscalizado, que transfieran bienes o presten servicios de la misma especie. </w:t>
      </w:r>
    </w:p>
    <w:p w:rsidR="00627A2A" w:rsidRPr="00627A2A" w:rsidRDefault="00627A2A" w:rsidP="00627A2A">
      <w:pPr>
        <w:pStyle w:val="Default"/>
        <w:rPr>
          <w:rFonts w:ascii="Times New Roman" w:hAnsi="Times New Roman" w:cs="Times New Roman"/>
          <w:color w:val="auto"/>
          <w:sz w:val="28"/>
          <w:szCs w:val="28"/>
        </w:rPr>
      </w:pPr>
      <w:r w:rsidRPr="00627A2A">
        <w:rPr>
          <w:rFonts w:ascii="Times New Roman" w:hAnsi="Times New Roman" w:cs="Times New Roman"/>
          <w:color w:val="auto"/>
          <w:sz w:val="28"/>
          <w:szCs w:val="28"/>
        </w:rPr>
        <w:t xml:space="preserve">En transferencias de bienes o prestaciones de servicios al exterior el precio de mercado lo constituirá, el precio al que otros sujetos distintos al fiscalizado y no relacionados con éste hayan transferido bienes o prestado servicios de la misma especie, desde el salvador al mismo país de destino. </w:t>
      </w:r>
    </w:p>
    <w:p w:rsidR="00627A2A" w:rsidRDefault="00627A2A" w:rsidP="00627A2A">
      <w:pPr>
        <w:pStyle w:val="Default"/>
        <w:rPr>
          <w:rFonts w:ascii="Times New Roman" w:hAnsi="Times New Roman" w:cs="Times New Roman"/>
          <w:color w:val="auto"/>
          <w:sz w:val="28"/>
          <w:szCs w:val="28"/>
        </w:rPr>
      </w:pPr>
      <w:r w:rsidRPr="00627A2A">
        <w:rPr>
          <w:rFonts w:ascii="Times New Roman" w:hAnsi="Times New Roman" w:cs="Times New Roman"/>
          <w:color w:val="auto"/>
          <w:sz w:val="28"/>
          <w:szCs w:val="28"/>
        </w:rPr>
        <w:t xml:space="preserve">En el caso de las importaciones el precio de mercado lo constituirá, el precio que tengan los bienes o servicios de la misma especie en negocios o establecimientos no relacionados con el sujeto fiscalizado, en el país en el que haya sido adquirido el bien o el servicio, más los costos o gastos de transporte, cuando proceda. </w:t>
      </w:r>
    </w:p>
    <w:p w:rsidR="00627A2A" w:rsidRDefault="00627A2A" w:rsidP="00627A2A">
      <w:pPr>
        <w:pStyle w:val="Default"/>
        <w:rPr>
          <w:rFonts w:ascii="Times New Roman" w:hAnsi="Times New Roman" w:cs="Times New Roman"/>
          <w:color w:val="auto"/>
          <w:sz w:val="28"/>
          <w:szCs w:val="28"/>
        </w:rPr>
      </w:pPr>
    </w:p>
    <w:p w:rsidR="00627A2A" w:rsidRPr="00627A2A" w:rsidRDefault="00627A2A" w:rsidP="00627A2A">
      <w:pPr>
        <w:pStyle w:val="Default"/>
        <w:rPr>
          <w:rFonts w:ascii="Times New Roman" w:hAnsi="Times New Roman" w:cs="Times New Roman"/>
          <w:color w:val="auto"/>
          <w:sz w:val="28"/>
          <w:szCs w:val="28"/>
        </w:rPr>
      </w:pPr>
    </w:p>
    <w:p w:rsidR="00627A2A" w:rsidRPr="00627A2A" w:rsidRDefault="00627A2A" w:rsidP="00627A2A">
      <w:pPr>
        <w:pStyle w:val="Default"/>
        <w:rPr>
          <w:rFonts w:ascii="Times New Roman" w:hAnsi="Times New Roman" w:cs="Times New Roman"/>
          <w:color w:val="auto"/>
          <w:sz w:val="28"/>
          <w:szCs w:val="28"/>
        </w:rPr>
      </w:pPr>
      <w:r w:rsidRPr="00627A2A">
        <w:rPr>
          <w:rFonts w:ascii="Times New Roman" w:hAnsi="Times New Roman" w:cs="Times New Roman"/>
          <w:b/>
          <w:bCs/>
          <w:color w:val="auto"/>
          <w:sz w:val="28"/>
          <w:szCs w:val="28"/>
        </w:rPr>
        <w:t xml:space="preserve">Sujetos relacionados </w:t>
      </w:r>
    </w:p>
    <w:p w:rsidR="00627A2A" w:rsidRPr="00627A2A" w:rsidRDefault="00627A2A" w:rsidP="00627A2A">
      <w:pPr>
        <w:pStyle w:val="Default"/>
        <w:rPr>
          <w:rFonts w:ascii="Times New Roman" w:hAnsi="Times New Roman" w:cs="Times New Roman"/>
          <w:color w:val="auto"/>
          <w:sz w:val="28"/>
          <w:szCs w:val="28"/>
        </w:rPr>
      </w:pPr>
    </w:p>
    <w:p w:rsidR="00627A2A" w:rsidRPr="00627A2A" w:rsidRDefault="00627A2A" w:rsidP="00627A2A">
      <w:pPr>
        <w:pStyle w:val="Default"/>
        <w:rPr>
          <w:rFonts w:ascii="Times New Roman" w:hAnsi="Times New Roman" w:cs="Times New Roman"/>
          <w:color w:val="auto"/>
          <w:sz w:val="28"/>
          <w:szCs w:val="28"/>
        </w:rPr>
      </w:pPr>
      <w:r w:rsidRPr="00627A2A">
        <w:rPr>
          <w:rFonts w:ascii="Times New Roman" w:hAnsi="Times New Roman" w:cs="Times New Roman"/>
          <w:color w:val="auto"/>
          <w:sz w:val="28"/>
          <w:szCs w:val="28"/>
        </w:rPr>
        <w:t xml:space="preserve">Según el Artículo 199-c. establece que para efectos de lo dispuesto en este código y demás leyes tributarias se entenderá como sujetos relacionados: </w:t>
      </w:r>
    </w:p>
    <w:p w:rsidR="00627A2A" w:rsidRPr="00627A2A" w:rsidRDefault="00627A2A" w:rsidP="00627A2A">
      <w:pPr>
        <w:pStyle w:val="Default"/>
        <w:spacing w:after="160"/>
        <w:rPr>
          <w:rFonts w:ascii="Times New Roman" w:hAnsi="Times New Roman" w:cs="Times New Roman"/>
          <w:color w:val="auto"/>
          <w:sz w:val="28"/>
          <w:szCs w:val="28"/>
        </w:rPr>
      </w:pPr>
      <w:r w:rsidRPr="00627A2A">
        <w:rPr>
          <w:rFonts w:ascii="Times New Roman" w:hAnsi="Times New Roman" w:cs="Times New Roman"/>
          <w:color w:val="auto"/>
          <w:sz w:val="28"/>
          <w:szCs w:val="28"/>
        </w:rPr>
        <w:t xml:space="preserve">Cuando uno de ellos dirija o controle la otra, o posea, directa o indirectamente, al menos el 25% de su capital social o de sus derechos de voto; </w:t>
      </w:r>
    </w:p>
    <w:p w:rsidR="00627A2A" w:rsidRPr="00627A2A" w:rsidRDefault="00627A2A" w:rsidP="00627A2A">
      <w:pPr>
        <w:pStyle w:val="Default"/>
        <w:spacing w:after="160"/>
        <w:rPr>
          <w:rFonts w:ascii="Times New Roman" w:hAnsi="Times New Roman" w:cs="Times New Roman"/>
          <w:color w:val="auto"/>
          <w:sz w:val="28"/>
          <w:szCs w:val="28"/>
        </w:rPr>
      </w:pPr>
      <w:r w:rsidRPr="00627A2A">
        <w:rPr>
          <w:rFonts w:ascii="Times New Roman" w:hAnsi="Times New Roman" w:cs="Times New Roman"/>
          <w:color w:val="auto"/>
          <w:sz w:val="28"/>
          <w:szCs w:val="28"/>
        </w:rPr>
        <w:t xml:space="preserve">Cuando cinco o menos personas dirijan o controlen ambas personas, o posean en su conjunto, directa o indirectamente, al menos el 25% de participación en el capital social o los derechos de voto de ambas personas; </w:t>
      </w:r>
    </w:p>
    <w:p w:rsidR="00627A2A" w:rsidRPr="00627A2A" w:rsidRDefault="00627A2A" w:rsidP="00627A2A">
      <w:pPr>
        <w:pStyle w:val="Default"/>
        <w:rPr>
          <w:rFonts w:ascii="Times New Roman" w:hAnsi="Times New Roman" w:cs="Times New Roman"/>
          <w:color w:val="auto"/>
          <w:sz w:val="28"/>
          <w:szCs w:val="28"/>
        </w:rPr>
      </w:pPr>
      <w:r w:rsidRPr="00627A2A">
        <w:rPr>
          <w:rFonts w:ascii="Times New Roman" w:hAnsi="Times New Roman" w:cs="Times New Roman"/>
          <w:color w:val="auto"/>
          <w:sz w:val="28"/>
          <w:szCs w:val="28"/>
        </w:rPr>
        <w:t xml:space="preserve">Cuando sean sociedades que pertenezcan a una misma unidad de decisión o grupo empresarial. </w:t>
      </w:r>
      <w:proofErr w:type="gramStart"/>
      <w:r w:rsidRPr="00627A2A">
        <w:rPr>
          <w:rFonts w:ascii="Times New Roman" w:hAnsi="Times New Roman" w:cs="Times New Roman"/>
          <w:color w:val="auto"/>
          <w:sz w:val="28"/>
          <w:szCs w:val="28"/>
        </w:rPr>
        <w:t>en</w:t>
      </w:r>
      <w:proofErr w:type="gramEnd"/>
      <w:r w:rsidRPr="00627A2A">
        <w:rPr>
          <w:rFonts w:ascii="Times New Roman" w:hAnsi="Times New Roman" w:cs="Times New Roman"/>
          <w:color w:val="auto"/>
          <w:sz w:val="28"/>
          <w:szCs w:val="28"/>
        </w:rPr>
        <w:t xml:space="preserve"> particular, dos sociedades forman parte de la misma unidad de decisión o </w:t>
      </w:r>
      <w:r>
        <w:rPr>
          <w:rFonts w:ascii="Times New Roman" w:hAnsi="Times New Roman" w:cs="Times New Roman"/>
          <w:color w:val="auto"/>
          <w:sz w:val="28"/>
          <w:szCs w:val="28"/>
        </w:rPr>
        <w:t xml:space="preserve"> </w:t>
      </w:r>
      <w:r w:rsidRPr="00627A2A">
        <w:rPr>
          <w:rFonts w:ascii="Times New Roman" w:hAnsi="Times New Roman" w:cs="Times New Roman"/>
          <w:color w:val="auto"/>
          <w:sz w:val="28"/>
          <w:szCs w:val="28"/>
        </w:rPr>
        <w:t xml:space="preserve">Seminario de Auditoría </w:t>
      </w:r>
      <w:r>
        <w:rPr>
          <w:rFonts w:ascii="Times New Roman" w:hAnsi="Times New Roman" w:cs="Times New Roman"/>
          <w:color w:val="auto"/>
          <w:sz w:val="28"/>
          <w:szCs w:val="28"/>
        </w:rPr>
        <w:t xml:space="preserve"> </w:t>
      </w:r>
      <w:r w:rsidRPr="00627A2A">
        <w:rPr>
          <w:rFonts w:ascii="Times New Roman" w:hAnsi="Times New Roman" w:cs="Times New Roman"/>
          <w:color w:val="auto"/>
          <w:sz w:val="28"/>
          <w:szCs w:val="28"/>
        </w:rPr>
        <w:t xml:space="preserve">grupo empresarial si una de </w:t>
      </w:r>
      <w:r w:rsidRPr="00627A2A">
        <w:rPr>
          <w:rFonts w:ascii="Times New Roman" w:hAnsi="Times New Roman" w:cs="Times New Roman"/>
          <w:color w:val="auto"/>
          <w:sz w:val="28"/>
          <w:szCs w:val="28"/>
        </w:rPr>
        <w:lastRenderedPageBreak/>
        <w:t xml:space="preserve">ellas es socio o partícipe de la otra y se encuentra en relación con ésta en alguna de las siguientes situaciones: </w:t>
      </w:r>
    </w:p>
    <w:p w:rsidR="00627A2A" w:rsidRPr="00627A2A" w:rsidRDefault="00627A2A" w:rsidP="00627A2A">
      <w:pPr>
        <w:pStyle w:val="Default"/>
        <w:rPr>
          <w:rFonts w:ascii="Times New Roman" w:hAnsi="Times New Roman" w:cs="Times New Roman"/>
          <w:color w:val="auto"/>
          <w:sz w:val="28"/>
          <w:szCs w:val="28"/>
        </w:rPr>
      </w:pPr>
      <w:r w:rsidRPr="00627A2A">
        <w:rPr>
          <w:rFonts w:ascii="Times New Roman" w:hAnsi="Times New Roman" w:cs="Times New Roman"/>
          <w:color w:val="auto"/>
          <w:sz w:val="28"/>
          <w:szCs w:val="28"/>
        </w:rPr>
        <w:t xml:space="preserve">Entre otros. </w:t>
      </w:r>
    </w:p>
    <w:p w:rsidR="00627A2A" w:rsidRPr="00627A2A" w:rsidRDefault="00627A2A" w:rsidP="00627A2A">
      <w:pPr>
        <w:pStyle w:val="Default"/>
        <w:rPr>
          <w:rFonts w:ascii="Times New Roman" w:hAnsi="Times New Roman" w:cs="Times New Roman"/>
          <w:color w:val="auto"/>
          <w:sz w:val="28"/>
          <w:szCs w:val="28"/>
        </w:rPr>
      </w:pPr>
    </w:p>
    <w:p w:rsidR="00627A2A" w:rsidRPr="00627A2A" w:rsidRDefault="00627A2A" w:rsidP="00627A2A">
      <w:pPr>
        <w:pStyle w:val="Default"/>
        <w:rPr>
          <w:rFonts w:ascii="Times New Roman" w:hAnsi="Times New Roman" w:cs="Times New Roman"/>
          <w:color w:val="auto"/>
          <w:sz w:val="28"/>
          <w:szCs w:val="28"/>
        </w:rPr>
      </w:pPr>
      <w:r w:rsidRPr="00627A2A">
        <w:rPr>
          <w:rFonts w:ascii="Times New Roman" w:hAnsi="Times New Roman" w:cs="Times New Roman"/>
          <w:b/>
          <w:bCs/>
          <w:color w:val="auto"/>
          <w:sz w:val="28"/>
          <w:szCs w:val="28"/>
        </w:rPr>
        <w:t xml:space="preserve">Criterios de comparabilidad eliminación de diferencias </w:t>
      </w:r>
    </w:p>
    <w:p w:rsidR="00627A2A" w:rsidRPr="00627A2A" w:rsidRDefault="00627A2A" w:rsidP="00627A2A">
      <w:pPr>
        <w:pStyle w:val="Default"/>
        <w:rPr>
          <w:rFonts w:ascii="Times New Roman" w:hAnsi="Times New Roman" w:cs="Times New Roman"/>
          <w:color w:val="auto"/>
          <w:sz w:val="28"/>
          <w:szCs w:val="28"/>
        </w:rPr>
      </w:pPr>
    </w:p>
    <w:p w:rsidR="00627A2A" w:rsidRPr="00627A2A" w:rsidRDefault="00627A2A" w:rsidP="00627A2A">
      <w:pPr>
        <w:pStyle w:val="Default"/>
        <w:rPr>
          <w:rFonts w:ascii="Times New Roman" w:hAnsi="Times New Roman" w:cs="Times New Roman"/>
          <w:color w:val="auto"/>
          <w:sz w:val="28"/>
          <w:szCs w:val="28"/>
        </w:rPr>
      </w:pPr>
      <w:r w:rsidRPr="00627A2A">
        <w:rPr>
          <w:rFonts w:ascii="Times New Roman" w:hAnsi="Times New Roman" w:cs="Times New Roman"/>
          <w:color w:val="auto"/>
          <w:sz w:val="28"/>
          <w:szCs w:val="28"/>
        </w:rPr>
        <w:t xml:space="preserve">Según el Artículo 199-d. establece que para establecer si los bienes o servicios son de la misma especie, a efecto de determinar el precio de mercado, se procederá a comparar las características económicas relevantes de las operaciones realizadas por el fiscalizado con otras operaciones realizadas entre partes independientes, para lo cual, se tomarán en cuenta, según sea el caso, los siguientes factores: </w:t>
      </w:r>
    </w:p>
    <w:p w:rsidR="00627A2A" w:rsidRPr="00627A2A" w:rsidRDefault="00627A2A" w:rsidP="00627A2A">
      <w:pPr>
        <w:pStyle w:val="Default"/>
        <w:spacing w:after="157"/>
        <w:rPr>
          <w:rFonts w:ascii="Times New Roman" w:hAnsi="Times New Roman" w:cs="Times New Roman"/>
          <w:color w:val="auto"/>
          <w:sz w:val="28"/>
          <w:szCs w:val="28"/>
        </w:rPr>
      </w:pPr>
      <w:r w:rsidRPr="00627A2A">
        <w:rPr>
          <w:rFonts w:ascii="Times New Roman" w:hAnsi="Times New Roman" w:cs="Times New Roman"/>
          <w:color w:val="auto"/>
          <w:sz w:val="28"/>
          <w:szCs w:val="28"/>
        </w:rPr>
        <w:t xml:space="preserve">Características de las operaciones efectuadas, sean estas transferencias de bienes materiales, bienes intangibles o prestación de servicios. </w:t>
      </w:r>
    </w:p>
    <w:p w:rsidR="00627A2A" w:rsidRPr="00627A2A" w:rsidRDefault="00627A2A" w:rsidP="00627A2A">
      <w:pPr>
        <w:pStyle w:val="Default"/>
        <w:spacing w:after="157"/>
        <w:rPr>
          <w:rFonts w:ascii="Times New Roman" w:hAnsi="Times New Roman" w:cs="Times New Roman"/>
          <w:color w:val="auto"/>
          <w:sz w:val="28"/>
          <w:szCs w:val="28"/>
        </w:rPr>
      </w:pPr>
      <w:r w:rsidRPr="00627A2A">
        <w:rPr>
          <w:rFonts w:ascii="Times New Roman" w:hAnsi="Times New Roman" w:cs="Times New Roman"/>
          <w:color w:val="auto"/>
          <w:sz w:val="28"/>
          <w:szCs w:val="28"/>
        </w:rPr>
        <w:t xml:space="preserve">Análisis de las funciones o actividades desempeñadas, incluyendo los activos utilizados y riesgos asumidos en las operaciones de cada una de las partes involucradas en la operación. </w:t>
      </w:r>
    </w:p>
    <w:p w:rsidR="00627A2A" w:rsidRPr="00627A2A" w:rsidRDefault="00627A2A" w:rsidP="00627A2A">
      <w:pPr>
        <w:pStyle w:val="Default"/>
        <w:spacing w:after="157"/>
        <w:rPr>
          <w:rFonts w:ascii="Times New Roman" w:hAnsi="Times New Roman" w:cs="Times New Roman"/>
          <w:color w:val="auto"/>
          <w:sz w:val="28"/>
          <w:szCs w:val="28"/>
        </w:rPr>
      </w:pPr>
      <w:r w:rsidRPr="00627A2A">
        <w:rPr>
          <w:rFonts w:ascii="Times New Roman" w:hAnsi="Times New Roman" w:cs="Times New Roman"/>
          <w:color w:val="auto"/>
          <w:sz w:val="28"/>
          <w:szCs w:val="28"/>
        </w:rPr>
        <w:t xml:space="preserve">Estrategias de negocios. </w:t>
      </w:r>
    </w:p>
    <w:p w:rsidR="00627A2A" w:rsidRPr="00627A2A" w:rsidRDefault="00627A2A" w:rsidP="00627A2A">
      <w:pPr>
        <w:pStyle w:val="Default"/>
        <w:rPr>
          <w:rFonts w:ascii="Times New Roman" w:hAnsi="Times New Roman" w:cs="Times New Roman"/>
          <w:color w:val="auto"/>
          <w:sz w:val="28"/>
          <w:szCs w:val="28"/>
        </w:rPr>
      </w:pPr>
      <w:r w:rsidRPr="00627A2A">
        <w:rPr>
          <w:rFonts w:ascii="Times New Roman" w:hAnsi="Times New Roman" w:cs="Times New Roman"/>
          <w:color w:val="auto"/>
          <w:sz w:val="28"/>
          <w:szCs w:val="28"/>
        </w:rPr>
        <w:t xml:space="preserve">Entre otros. </w:t>
      </w:r>
    </w:p>
    <w:p w:rsidR="00627A2A" w:rsidRPr="00627A2A" w:rsidRDefault="00627A2A" w:rsidP="00627A2A">
      <w:pPr>
        <w:rPr>
          <w:rFonts w:ascii="Times New Roman" w:hAnsi="Times New Roman" w:cs="Times New Roman"/>
          <w:sz w:val="28"/>
          <w:szCs w:val="28"/>
        </w:rPr>
      </w:pPr>
    </w:p>
    <w:sectPr w:rsidR="00627A2A" w:rsidRPr="00627A2A" w:rsidSect="008F12A3">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altName w:val="Arial Narrow"/>
    <w:panose1 w:val="020B0604020202020204"/>
    <w:charset w:val="00"/>
    <w:family w:val="swiss"/>
    <w:pitch w:val="variable"/>
    <w:sig w:usb0="E0002AFF" w:usb1="C0007843" w:usb2="00000009" w:usb3="00000000" w:csb0="000001FF" w:csb1="00000000"/>
  </w:font>
  <w:font w:name="Cambria">
    <w:altName w:val="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hyphenationZone w:val="425"/>
  <w:characterSpacingControl w:val="doNotCompress"/>
  <w:compat/>
  <w:rsids>
    <w:rsidRoot w:val="00627A2A"/>
    <w:rsid w:val="0032567D"/>
    <w:rsid w:val="00627A2A"/>
    <w:rsid w:val="008F12A3"/>
    <w:rsid w:val="00F008F5"/>
  </w:rsids>
  <m:mathPr>
    <m:mathFont m:val="Cambria Math"/>
    <m:brkBin m:val="before"/>
    <m:brkBinSub m:val="--"/>
    <m:smallFrac m:val="off"/>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12A3"/>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627A2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724</Words>
  <Characters>3987</Characters>
  <Application>Microsoft Office Word</Application>
  <DocSecurity>0</DocSecurity>
  <Lines>33</Lines>
  <Paragraphs>9</Paragraphs>
  <ScaleCrop>false</ScaleCrop>
  <Company/>
  <LinksUpToDate>false</LinksUpToDate>
  <CharactersWithSpaces>4702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velasquez</dc:creator>
  <cp:lastModifiedBy>velasquez</cp:lastModifiedBy>
  <cp:revision>1</cp:revision>
  <dcterms:created xsi:type="dcterms:W3CDTF">2013-10-28T06:05:00Z</dcterms:created>
  <dcterms:modified xsi:type="dcterms:W3CDTF">2013-10-28T06:10:00Z</dcterms:modified>
</cp:coreProperties>
</file>