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3C" w:rsidRPr="005D4020" w:rsidRDefault="00946AB2" w:rsidP="005D4020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RESUMEN DEL LIBRO ROJO; NORMAS INTERNACIONALES PARA EL EJERCICIO PROFESIONAL DE LA AUDITORIA INTERNA</w:t>
      </w:r>
    </w:p>
    <w:p w:rsidR="00946AB2" w:rsidRPr="005D4020" w:rsidRDefault="00946AB2" w:rsidP="005D4020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46AB2" w:rsidRPr="005D4020" w:rsidRDefault="00946AB2" w:rsidP="005D4020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>Para hablar de auditoria interna  se debe tener en cuenta los principios y norman que regulan como tal a la profesión</w:t>
      </w:r>
      <w:r w:rsidR="005D4020">
        <w:rPr>
          <w:rFonts w:ascii="Arial" w:hAnsi="Arial" w:cs="Arial"/>
          <w:sz w:val="24"/>
          <w:szCs w:val="24"/>
        </w:rPr>
        <w:t>: “</w:t>
      </w:r>
      <w:r w:rsidR="005D4020" w:rsidRPr="005D4020">
        <w:rPr>
          <w:rFonts w:ascii="Arial" w:hAnsi="Arial" w:cs="Arial"/>
          <w:i/>
          <w:sz w:val="24"/>
          <w:szCs w:val="24"/>
        </w:rPr>
        <w:t>La Auditoria I</w:t>
      </w:r>
      <w:r w:rsidRPr="005D4020">
        <w:rPr>
          <w:rFonts w:ascii="Arial" w:hAnsi="Arial" w:cs="Arial"/>
          <w:i/>
          <w:sz w:val="24"/>
          <w:szCs w:val="24"/>
        </w:rPr>
        <w:t xml:space="preserve">nterna es </w:t>
      </w:r>
      <w:r w:rsidR="00404BD4" w:rsidRPr="005D4020">
        <w:rPr>
          <w:rFonts w:ascii="Arial" w:hAnsi="Arial" w:cs="Arial"/>
          <w:i/>
          <w:sz w:val="24"/>
          <w:szCs w:val="24"/>
        </w:rPr>
        <w:t>una actividad independiente y o</w:t>
      </w:r>
      <w:r w:rsidRPr="005D4020">
        <w:rPr>
          <w:rFonts w:ascii="Arial" w:hAnsi="Arial" w:cs="Arial"/>
          <w:i/>
          <w:sz w:val="24"/>
          <w:szCs w:val="24"/>
        </w:rPr>
        <w:t>bjetiva de aseguramiento y consulta, concebida para agregar valor y mejorar las operaciones de una organización, también ayuda a una organización a cumplir con los objetivos aportando un enfoque sistemático y disciplinado para evaluar y mejorar la eficacia de los procesos de gestión de riesgos, control y gobierno</w:t>
      </w:r>
      <w:r w:rsidR="005D4020">
        <w:rPr>
          <w:rFonts w:ascii="Arial" w:hAnsi="Arial" w:cs="Arial"/>
          <w:i/>
          <w:sz w:val="24"/>
          <w:szCs w:val="24"/>
        </w:rPr>
        <w:t>”</w:t>
      </w:r>
      <w:r w:rsidRPr="005D4020">
        <w:rPr>
          <w:rFonts w:ascii="Arial" w:hAnsi="Arial" w:cs="Arial"/>
          <w:i/>
          <w:sz w:val="24"/>
          <w:szCs w:val="24"/>
        </w:rPr>
        <w:t>.</w:t>
      </w:r>
    </w:p>
    <w:p w:rsidR="00946AB2" w:rsidRPr="005D4020" w:rsidRDefault="00946AB2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 xml:space="preserve">El contenido del libro rojo </w:t>
      </w:r>
      <w:proofErr w:type="spellStart"/>
      <w:r w:rsidRPr="005D4020">
        <w:rPr>
          <w:rFonts w:ascii="Arial" w:hAnsi="Arial" w:cs="Arial"/>
          <w:sz w:val="24"/>
          <w:szCs w:val="24"/>
        </w:rPr>
        <w:t>esta</w:t>
      </w:r>
      <w:proofErr w:type="spellEnd"/>
      <w:r w:rsidRPr="005D4020">
        <w:rPr>
          <w:rFonts w:ascii="Arial" w:hAnsi="Arial" w:cs="Arial"/>
          <w:sz w:val="24"/>
          <w:szCs w:val="24"/>
        </w:rPr>
        <w:t xml:space="preserve"> destinado para que el profesional de la auditoria interna tenga un sustento para la interpretación y caminos orientados a la hacia la </w:t>
      </w:r>
      <w:r w:rsidR="00DC0BB3" w:rsidRPr="005D4020">
        <w:rPr>
          <w:rFonts w:ascii="Arial" w:hAnsi="Arial" w:cs="Arial"/>
          <w:sz w:val="24"/>
          <w:szCs w:val="24"/>
        </w:rPr>
        <w:t>profesión,</w:t>
      </w:r>
      <w:r w:rsidRPr="005D4020">
        <w:rPr>
          <w:rFonts w:ascii="Arial" w:hAnsi="Arial" w:cs="Arial"/>
          <w:sz w:val="24"/>
          <w:szCs w:val="24"/>
        </w:rPr>
        <w:t xml:space="preserve"> considerando el auge de la tecnología y el desarrollo del mundo para satisfacer la necesidades que se demandan en el servicio de Auditoria Interna.</w:t>
      </w:r>
    </w:p>
    <w:p w:rsidR="00DC0BB3" w:rsidRPr="005D4020" w:rsidRDefault="00DC0BB3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>El libro consta de tres partes fundamentales para el desarrollo de las base de la auditoria interna:</w:t>
      </w:r>
    </w:p>
    <w:p w:rsidR="00DC0BB3" w:rsidRPr="005D4020" w:rsidRDefault="00DC0BB3" w:rsidP="005D402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Código de Ética</w:t>
      </w:r>
    </w:p>
    <w:p w:rsidR="00DA7C30" w:rsidRPr="005D4020" w:rsidRDefault="00DA7C30" w:rsidP="005D402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Normas de Auditoria Interna</w:t>
      </w:r>
    </w:p>
    <w:p w:rsidR="00DA7C30" w:rsidRPr="005D4020" w:rsidRDefault="00DA7C30" w:rsidP="005D4020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Consejos para la Practica</w:t>
      </w:r>
    </w:p>
    <w:p w:rsidR="00DA7C30" w:rsidRPr="005D4020" w:rsidRDefault="00DA7C30" w:rsidP="005D4020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D4020" w:rsidRPr="005D4020" w:rsidRDefault="00DA7C30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>El Código de Ética b</w:t>
      </w:r>
      <w:r w:rsidR="00DC0BB3" w:rsidRPr="005D4020">
        <w:rPr>
          <w:rFonts w:ascii="Arial" w:hAnsi="Arial" w:cs="Arial"/>
          <w:sz w:val="24"/>
          <w:szCs w:val="24"/>
        </w:rPr>
        <w:t>usca promover una cultura donde los que se dedican  a la profesión tengan principios éticos para asegurar el buen desempeño  de sus labores ya sea para las personas entidades que se dediquen a la prestación del servicio profesional</w:t>
      </w:r>
      <w:r w:rsidR="00937A72" w:rsidRPr="005D4020">
        <w:rPr>
          <w:rFonts w:ascii="Arial" w:hAnsi="Arial" w:cs="Arial"/>
          <w:sz w:val="24"/>
          <w:szCs w:val="24"/>
        </w:rPr>
        <w:t xml:space="preserve">, para esto  el </w:t>
      </w:r>
      <w:r w:rsidR="0094662D" w:rsidRPr="005D4020">
        <w:rPr>
          <w:rFonts w:ascii="Arial" w:hAnsi="Arial" w:cs="Arial"/>
          <w:sz w:val="24"/>
          <w:szCs w:val="24"/>
        </w:rPr>
        <w:t>Código</w:t>
      </w:r>
      <w:r w:rsidR="00937A72" w:rsidRPr="005D4020">
        <w:rPr>
          <w:rFonts w:ascii="Arial" w:hAnsi="Arial" w:cs="Arial"/>
          <w:sz w:val="24"/>
          <w:szCs w:val="24"/>
        </w:rPr>
        <w:t xml:space="preserve"> de </w:t>
      </w:r>
      <w:r w:rsidR="0094662D" w:rsidRPr="005D4020">
        <w:rPr>
          <w:rFonts w:ascii="Arial" w:hAnsi="Arial" w:cs="Arial"/>
          <w:sz w:val="24"/>
          <w:szCs w:val="24"/>
        </w:rPr>
        <w:t>Ética</w:t>
      </w:r>
      <w:r w:rsidR="00937A72" w:rsidRPr="005D4020">
        <w:rPr>
          <w:rFonts w:ascii="Arial" w:hAnsi="Arial" w:cs="Arial"/>
          <w:sz w:val="24"/>
          <w:szCs w:val="24"/>
        </w:rPr>
        <w:t xml:space="preserve"> se divide en dos componentes </w:t>
      </w:r>
      <w:r w:rsidR="0094662D" w:rsidRPr="005D4020">
        <w:rPr>
          <w:rFonts w:ascii="Arial" w:hAnsi="Arial" w:cs="Arial"/>
          <w:sz w:val="24"/>
          <w:szCs w:val="24"/>
        </w:rPr>
        <w:t>esenciales los cuales son</w:t>
      </w:r>
      <w:r w:rsidRPr="005D4020">
        <w:rPr>
          <w:rFonts w:ascii="Arial" w:hAnsi="Arial" w:cs="Arial"/>
          <w:sz w:val="24"/>
          <w:szCs w:val="24"/>
        </w:rPr>
        <w:t>:</w:t>
      </w:r>
    </w:p>
    <w:p w:rsidR="00DC0BB3" w:rsidRPr="005D4020" w:rsidRDefault="00DA7C30" w:rsidP="005D402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L</w:t>
      </w:r>
      <w:r w:rsidR="0094662D" w:rsidRPr="005D4020">
        <w:rPr>
          <w:rFonts w:ascii="Arial" w:hAnsi="Arial" w:cs="Arial"/>
          <w:b/>
          <w:sz w:val="24"/>
          <w:szCs w:val="24"/>
        </w:rPr>
        <w:t>os</w:t>
      </w:r>
      <w:r w:rsidR="00937A72" w:rsidRPr="005D4020">
        <w:rPr>
          <w:rFonts w:ascii="Arial" w:hAnsi="Arial" w:cs="Arial"/>
          <w:b/>
          <w:sz w:val="24"/>
          <w:szCs w:val="24"/>
        </w:rPr>
        <w:t xml:space="preserve"> principios </w:t>
      </w:r>
      <w:r w:rsidRPr="005D4020">
        <w:rPr>
          <w:rFonts w:ascii="Arial" w:hAnsi="Arial" w:cs="Arial"/>
          <w:b/>
          <w:sz w:val="24"/>
          <w:szCs w:val="24"/>
        </w:rPr>
        <w:t>que son relevantes para la profesión de la auditoria interna</w:t>
      </w:r>
    </w:p>
    <w:p w:rsidR="00DA7C30" w:rsidRPr="005D4020" w:rsidRDefault="00DA7C30" w:rsidP="005D4020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Reglas de conducta</w:t>
      </w:r>
    </w:p>
    <w:p w:rsidR="005D4020" w:rsidRDefault="005D4020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5D4020" w:rsidRDefault="00937A72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 xml:space="preserve">En cuanto a los principios deben de cumplir con: </w:t>
      </w:r>
    </w:p>
    <w:p w:rsidR="005D4020" w:rsidRPr="005D4020" w:rsidRDefault="005D4020" w:rsidP="005D402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Integridad</w:t>
      </w:r>
      <w:bookmarkStart w:id="0" w:name="_GoBack"/>
      <w:bookmarkEnd w:id="0"/>
    </w:p>
    <w:p w:rsidR="005D4020" w:rsidRPr="005D4020" w:rsidRDefault="005D4020" w:rsidP="005D402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Objetividad</w:t>
      </w:r>
    </w:p>
    <w:p w:rsidR="005D4020" w:rsidRPr="005D4020" w:rsidRDefault="005D4020" w:rsidP="005D402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C</w:t>
      </w:r>
      <w:r w:rsidR="00937A72" w:rsidRPr="005D4020">
        <w:rPr>
          <w:rFonts w:ascii="Arial" w:hAnsi="Arial" w:cs="Arial"/>
          <w:b/>
          <w:sz w:val="24"/>
          <w:szCs w:val="24"/>
        </w:rPr>
        <w:t xml:space="preserve">onfidencialidad </w:t>
      </w:r>
    </w:p>
    <w:p w:rsidR="005D4020" w:rsidRPr="005D4020" w:rsidRDefault="005D4020" w:rsidP="005D4020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D4020">
        <w:rPr>
          <w:rFonts w:ascii="Arial" w:hAnsi="Arial" w:cs="Arial"/>
          <w:b/>
          <w:sz w:val="24"/>
          <w:szCs w:val="24"/>
        </w:rPr>
        <w:t>Competencia</w:t>
      </w:r>
      <w:r w:rsidR="00937A72" w:rsidRPr="005D4020">
        <w:rPr>
          <w:rFonts w:ascii="Arial" w:hAnsi="Arial" w:cs="Arial"/>
          <w:b/>
          <w:sz w:val="24"/>
          <w:szCs w:val="24"/>
        </w:rPr>
        <w:t>.</w:t>
      </w:r>
      <w:r w:rsidR="0094662D" w:rsidRPr="005D4020">
        <w:rPr>
          <w:rFonts w:ascii="Arial" w:hAnsi="Arial" w:cs="Arial"/>
          <w:b/>
          <w:sz w:val="24"/>
          <w:szCs w:val="24"/>
        </w:rPr>
        <w:t xml:space="preserve"> </w:t>
      </w:r>
    </w:p>
    <w:p w:rsidR="00937A72" w:rsidRPr="005D4020" w:rsidRDefault="005D4020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>En</w:t>
      </w:r>
      <w:r w:rsidR="0094662D" w:rsidRPr="005D4020">
        <w:rPr>
          <w:rFonts w:ascii="Arial" w:hAnsi="Arial" w:cs="Arial"/>
          <w:sz w:val="24"/>
          <w:szCs w:val="24"/>
        </w:rPr>
        <w:t xml:space="preserve"> cuanto a las reglas se dan los lineamientos para poder cumplir con los principios exigidos por el código de ética</w:t>
      </w:r>
      <w:r w:rsidR="004C4FDB" w:rsidRPr="005D4020">
        <w:rPr>
          <w:rFonts w:ascii="Arial" w:hAnsi="Arial" w:cs="Arial"/>
          <w:sz w:val="24"/>
          <w:szCs w:val="24"/>
        </w:rPr>
        <w:t>; los cuales proporcionan la forma de realizar su trabajo, todas las acciones licitas que deben cumplir, la prudencia que se debe tener con la información obtenida y así como los conocimientos que deben de obtener para poder cumplir con la profesión.</w:t>
      </w:r>
    </w:p>
    <w:p w:rsidR="004C4FDB" w:rsidRPr="005D4020" w:rsidRDefault="004C4FDB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 xml:space="preserve">También este libro trata de la estructura de las normas, la cual </w:t>
      </w:r>
      <w:r w:rsidR="005D4020" w:rsidRPr="005D4020">
        <w:rPr>
          <w:rFonts w:ascii="Arial" w:hAnsi="Arial" w:cs="Arial"/>
          <w:sz w:val="24"/>
          <w:szCs w:val="24"/>
        </w:rPr>
        <w:t>está</w:t>
      </w:r>
      <w:r w:rsidRPr="005D4020">
        <w:rPr>
          <w:rFonts w:ascii="Arial" w:hAnsi="Arial" w:cs="Arial"/>
          <w:sz w:val="24"/>
          <w:szCs w:val="24"/>
        </w:rPr>
        <w:t xml:space="preserve"> formada por las normas  sobre atributos, normas de desempeño y normas de implantación.</w:t>
      </w:r>
    </w:p>
    <w:p w:rsidR="0094662D" w:rsidRPr="005D4020" w:rsidRDefault="004C4FDB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 xml:space="preserve">Las normas sobre atributos tratan de las </w:t>
      </w:r>
      <w:r w:rsidR="00DA7C30" w:rsidRPr="005D4020">
        <w:rPr>
          <w:rFonts w:ascii="Arial" w:hAnsi="Arial" w:cs="Arial"/>
          <w:sz w:val="24"/>
          <w:szCs w:val="24"/>
        </w:rPr>
        <w:t>características</w:t>
      </w:r>
      <w:r w:rsidRPr="005D4020">
        <w:rPr>
          <w:rFonts w:ascii="Arial" w:hAnsi="Arial" w:cs="Arial"/>
          <w:sz w:val="24"/>
          <w:szCs w:val="24"/>
        </w:rPr>
        <w:t xml:space="preserve"> de las Organizaciones y las personas que prestan servicios de </w:t>
      </w:r>
      <w:r w:rsidR="00DA7C30" w:rsidRPr="005D4020">
        <w:rPr>
          <w:rFonts w:ascii="Arial" w:hAnsi="Arial" w:cs="Arial"/>
          <w:sz w:val="24"/>
          <w:szCs w:val="24"/>
        </w:rPr>
        <w:t>auditoría</w:t>
      </w:r>
      <w:r w:rsidRPr="005D4020">
        <w:rPr>
          <w:rFonts w:ascii="Arial" w:hAnsi="Arial" w:cs="Arial"/>
          <w:sz w:val="24"/>
          <w:szCs w:val="24"/>
        </w:rPr>
        <w:t xml:space="preserve"> interna, por lo que dicha norma presenta información acerca del propósito, autoridad y responsabilidad</w:t>
      </w:r>
      <w:r w:rsidR="00DA7C30" w:rsidRPr="005D4020">
        <w:rPr>
          <w:rFonts w:ascii="Arial" w:hAnsi="Arial" w:cs="Arial"/>
          <w:sz w:val="24"/>
          <w:szCs w:val="24"/>
        </w:rPr>
        <w:t xml:space="preserve"> aptitud y cuidado profesional.</w:t>
      </w:r>
    </w:p>
    <w:p w:rsidR="00937A72" w:rsidRPr="005D4020" w:rsidRDefault="00DA7C30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>Las normas sobre el desempeño describen la naturaleza de los servicios de auditoría interna y proporcionan criterios de calidad con los cuales se puede evaluar el desempeño de estos servicios.</w:t>
      </w:r>
    </w:p>
    <w:p w:rsidR="00DC0BB3" w:rsidRPr="005D4020" w:rsidRDefault="005D4020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D4020">
        <w:rPr>
          <w:rFonts w:ascii="Arial" w:hAnsi="Arial" w:cs="Arial"/>
          <w:sz w:val="24"/>
          <w:szCs w:val="24"/>
        </w:rPr>
        <w:t>Así</w:t>
      </w:r>
      <w:r w:rsidR="00DA7C30" w:rsidRPr="005D4020">
        <w:rPr>
          <w:rFonts w:ascii="Arial" w:hAnsi="Arial" w:cs="Arial"/>
          <w:sz w:val="24"/>
          <w:szCs w:val="24"/>
        </w:rPr>
        <w:t xml:space="preserve"> como también el libro abarca los estatutos el cual es básico cuando </w:t>
      </w:r>
      <w:r w:rsidRPr="005D4020">
        <w:rPr>
          <w:rFonts w:ascii="Arial" w:hAnsi="Arial" w:cs="Arial"/>
          <w:sz w:val="24"/>
          <w:szCs w:val="24"/>
        </w:rPr>
        <w:t>existe</w:t>
      </w:r>
      <w:r w:rsidR="00DA7C30" w:rsidRPr="005D4020">
        <w:rPr>
          <w:rFonts w:ascii="Arial" w:hAnsi="Arial" w:cs="Arial"/>
          <w:sz w:val="24"/>
          <w:szCs w:val="24"/>
        </w:rPr>
        <w:t xml:space="preserve"> </w:t>
      </w:r>
      <w:r w:rsidRPr="005D4020">
        <w:rPr>
          <w:rFonts w:ascii="Arial" w:hAnsi="Arial" w:cs="Arial"/>
          <w:sz w:val="24"/>
          <w:szCs w:val="24"/>
        </w:rPr>
        <w:t>una función de auditoria interna, en este documento de debe indicar la finalidad de la función de auditoria interna, las funciones y las competencias de la función específica de contribución a la entidad</w:t>
      </w:r>
    </w:p>
    <w:p w:rsidR="00946AB2" w:rsidRPr="005D4020" w:rsidRDefault="00946AB2" w:rsidP="005D4020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946AB2" w:rsidRPr="005D402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01891"/>
    <w:multiLevelType w:val="hybridMultilevel"/>
    <w:tmpl w:val="6B9E03E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17032"/>
    <w:multiLevelType w:val="hybridMultilevel"/>
    <w:tmpl w:val="0588AC20"/>
    <w:lvl w:ilvl="0" w:tplc="4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3AAE"/>
    <w:multiLevelType w:val="hybridMultilevel"/>
    <w:tmpl w:val="AC6A033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BB"/>
    <w:rsid w:val="0000755B"/>
    <w:rsid w:val="000D59E1"/>
    <w:rsid w:val="003D0ABB"/>
    <w:rsid w:val="00404BD4"/>
    <w:rsid w:val="00421810"/>
    <w:rsid w:val="004C4FDB"/>
    <w:rsid w:val="005D4020"/>
    <w:rsid w:val="00937A72"/>
    <w:rsid w:val="0094662D"/>
    <w:rsid w:val="00946AB2"/>
    <w:rsid w:val="00AC2CC1"/>
    <w:rsid w:val="00C434A9"/>
    <w:rsid w:val="00C822C6"/>
    <w:rsid w:val="00D45E17"/>
    <w:rsid w:val="00DA7C30"/>
    <w:rsid w:val="00DC0BB3"/>
    <w:rsid w:val="00D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0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0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445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Molina Alas</dc:creator>
  <cp:lastModifiedBy>Molina Alas</cp:lastModifiedBy>
  <cp:revision>5</cp:revision>
  <dcterms:created xsi:type="dcterms:W3CDTF">2013-08-23T04:28:00Z</dcterms:created>
  <dcterms:modified xsi:type="dcterms:W3CDTF">2013-08-23T05:18:00Z</dcterms:modified>
</cp:coreProperties>
</file>