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497" w:rsidRPr="00371D7D" w:rsidRDefault="003C3F52" w:rsidP="00312C0D">
      <w:pPr>
        <w:jc w:val="center"/>
        <w:rPr>
          <w:lang w:val="en-US"/>
        </w:rPr>
      </w:pPr>
      <w:r>
        <w:rPr>
          <w:noProof/>
          <w:lang w:val="en-US"/>
        </w:rPr>
        <w:pict>
          <v:roundrect id="_x0000_s1079" style="position:absolute;left:0;text-align:left;margin-left:-57.1pt;margin-top:528.35pt;width:379.85pt;height:31.5pt;z-index:251718656" arcsize="10923f" fillcolor="#c0504d [3205]" strokecolor="#f2f2f2 [3041]" strokeweight="3pt">
            <v:shadow on="t" type="perspective" color="#622423 [1605]" opacity=".5" offset="1pt" offset2="-1pt"/>
            <v:textbox>
              <w:txbxContent>
                <w:p w:rsidR="003C3F52" w:rsidRPr="003C3F52" w:rsidRDefault="003C3F52">
                  <w:pPr>
                    <w:rPr>
                      <w:rFonts w:ascii="Bernard MT Condensed" w:hAnsi="Bernard MT Condensed"/>
                      <w:color w:val="FFFFFF" w:themeColor="background1"/>
                      <w:sz w:val="32"/>
                      <w:szCs w:val="32"/>
                    </w:rPr>
                  </w:pPr>
                  <w:r w:rsidRPr="003C3F52">
                    <w:rPr>
                      <w:rFonts w:ascii="Script MT Bold" w:hAnsi="Script MT Bold"/>
                      <w:color w:val="FFFFFF" w:themeColor="background1"/>
                      <w:sz w:val="32"/>
                      <w:szCs w:val="32"/>
                    </w:rPr>
                    <w:t>Jacqueline Judith Escobar Doradea</w:t>
                  </w:r>
                  <w:r>
                    <w:rPr>
                      <w:rFonts w:ascii="Script MT Bold" w:hAnsi="Script MT Bold"/>
                      <w:color w:val="FFFFFF" w:themeColor="background1"/>
                      <w:sz w:val="32"/>
                      <w:szCs w:val="32"/>
                    </w:rPr>
                    <w:t xml:space="preserve">         </w:t>
                  </w:r>
                  <w:r w:rsidRPr="003C3F52">
                    <w:rPr>
                      <w:rFonts w:ascii="Bernard MT Condensed" w:hAnsi="Bernard MT Condensed"/>
                      <w:color w:val="FFFFFF" w:themeColor="background1"/>
                      <w:sz w:val="28"/>
                      <w:szCs w:val="28"/>
                    </w:rPr>
                    <w:t>JDoradeaGt05</w:t>
                  </w:r>
                </w:p>
              </w:txbxContent>
            </v:textbox>
          </v:roundrect>
        </w:pict>
      </w:r>
      <w:r>
        <w:rPr>
          <w:noProof/>
          <w:lang w:val="en-US"/>
        </w:rPr>
        <w:pict>
          <v:shapetype id="_x0000_t32" coordsize="21600,21600" o:spt="32" o:oned="t" path="m,l21600,21600e" filled="f">
            <v:path arrowok="t" fillok="f" o:connecttype="none"/>
            <o:lock v:ext="edit" shapetype="t"/>
          </v:shapetype>
          <v:shape id="_x0000_s1077" type="#_x0000_t32" style="position:absolute;left:0;text-align:left;margin-left:519.35pt;margin-top:246.9pt;width:31.4pt;height:.05pt;z-index:251717632" o:connectortype="straight" strokecolor="#c0504d [3205]" strokeweight="1pt">
            <v:stroke dashstyle="dash" endarrow="block"/>
            <v:shadow color="#868686"/>
          </v:shape>
        </w:pict>
      </w:r>
      <w:r>
        <w:rPr>
          <w:noProof/>
          <w:lang w:val="en-US"/>
        </w:rPr>
        <w:pict>
          <v:roundrect id="_x0000_s1074" style="position:absolute;left:0;text-align:left;margin-left:587.2pt;margin-top:73.75pt;width:101.75pt;height:57.8pt;z-index:251714560" arcsize="10923f" fillcolor="white [3201]" strokecolor="#c0504d [3205]" strokeweight="1pt">
            <v:stroke dashstyle="dash"/>
            <v:shadow color="#868686"/>
            <v:textbox style="mso-next-textbox:#_x0000_s1074">
              <w:txbxContent>
                <w:p w:rsidR="003C3F52" w:rsidRPr="00A6527F" w:rsidRDefault="003C3F52" w:rsidP="003C3F52">
                  <w:pPr>
                    <w:jc w:val="center"/>
                  </w:pPr>
                  <w:r>
                    <w:t>Comunicar los resultados de los trabajos.</w:t>
                  </w:r>
                </w:p>
              </w:txbxContent>
            </v:textbox>
          </v:roundrect>
        </w:pict>
      </w:r>
      <w:r>
        <w:rPr>
          <w:noProof/>
          <w:lang w:val="en-US"/>
        </w:rPr>
        <w:pict>
          <v:shape id="_x0000_s1076" type="#_x0000_t32" style="position:absolute;left:0;text-align:left;margin-left:587.2pt;margin-top:53.3pt;width:46.65pt;height:0;flip:x;z-index:251716608" o:connectortype="straight" strokecolor="#c0504d [3205]" strokeweight="1pt">
            <v:stroke dashstyle="dash"/>
            <v:shadow color="#868686"/>
          </v:shape>
        </w:pict>
      </w:r>
      <w:r>
        <w:rPr>
          <w:noProof/>
          <w:lang w:val="en-US"/>
        </w:rPr>
        <w:pict>
          <v:shape id="_x0000_s1075" type="#_x0000_t32" style="position:absolute;left:0;text-align:left;margin-left:633.35pt;margin-top:53.3pt;width:0;height:20.45pt;z-index:251715584" o:connectortype="straight" strokecolor="#c0504d [3205]" strokeweight="1pt">
            <v:stroke dashstyle="dash" endarrow="block"/>
            <v:shadow color="#868686"/>
          </v:shape>
        </w:pict>
      </w:r>
      <w:r>
        <w:rPr>
          <w:noProof/>
          <w:lang w:val="en-US"/>
        </w:rPr>
        <w:pict>
          <v:roundrect id="_x0000_s1062" style="position:absolute;left:0;text-align:left;margin-left:461.3pt;margin-top:-12.9pt;width:173.8pt;height:38.5pt;z-index:251702272" arcsize="10923f" fillcolor="white [3201]" strokecolor="#c0504d [3205]" strokeweight="1pt">
            <v:stroke dashstyle="dash"/>
            <v:shadow color="#868686"/>
            <v:textbox>
              <w:txbxContent>
                <w:p w:rsidR="00F52C53" w:rsidRDefault="003C3F52">
                  <w:r>
                    <w:t xml:space="preserve">Cumplimiento de objetivos </w:t>
                  </w:r>
                  <w:r w:rsidR="00F52C53">
                    <w:t>Director Ejecutivo de la Auditoría.</w:t>
                  </w:r>
                </w:p>
              </w:txbxContent>
            </v:textbox>
          </v:roundrect>
        </w:pict>
      </w:r>
      <w:r>
        <w:rPr>
          <w:noProof/>
          <w:lang w:val="en-US"/>
        </w:rPr>
        <w:pict>
          <v:shape id="_x0000_s1073" type="#_x0000_t32" style="position:absolute;left:0;text-align:left;margin-left:84.6pt;margin-top:432.95pt;width:30.4pt;height:0;flip:x;z-index:251713536" o:connectortype="straight" strokecolor="#c0504d [3205]" strokeweight="1pt">
            <v:stroke dashstyle="dash" endarrow="block"/>
            <v:shadow color="#868686"/>
          </v:shape>
        </w:pict>
      </w:r>
      <w:r>
        <w:rPr>
          <w:noProof/>
          <w:lang w:val="en-US"/>
        </w:rPr>
        <w:pict>
          <v:roundrect id="_x0000_s1072" style="position:absolute;left:0;text-align:left;margin-left:-42.2pt;margin-top:406.15pt;width:126.8pt;height:57.8pt;z-index:251712512" arcsize="10923f" fillcolor="white [3201]" strokecolor="#c0504d [3205]" strokeweight="1pt">
            <v:stroke dashstyle="dash"/>
            <v:shadow color="#868686"/>
            <v:textbox style="mso-next-textbox:#_x0000_s1072">
              <w:txbxContent>
                <w:p w:rsidR="003C3F52" w:rsidRPr="00A6527F" w:rsidRDefault="003C3F52" w:rsidP="003C3F52">
                  <w:pPr>
                    <w:jc w:val="center"/>
                  </w:pPr>
                  <w:r>
                    <w:t>Identificar, analizar, evaluar y documentar suficiente información</w:t>
                  </w:r>
                </w:p>
              </w:txbxContent>
            </v:textbox>
          </v:roundrect>
        </w:pict>
      </w:r>
      <w:r>
        <w:rPr>
          <w:noProof/>
          <w:lang w:val="en-US"/>
        </w:rPr>
        <w:pict>
          <v:roundrect id="_x0000_s1070" style="position:absolute;left:0;text-align:left;margin-left:-42.2pt;margin-top:278pt;width:126.8pt;height:57.8pt;z-index:251710464" arcsize="10923f" fillcolor="white [3201]" strokecolor="#c0504d [3205]" strokeweight="1pt">
            <v:stroke dashstyle="dash"/>
            <v:shadow color="#868686"/>
            <v:textbox style="mso-next-textbox:#_x0000_s1070">
              <w:txbxContent>
                <w:p w:rsidR="008E62A8" w:rsidRPr="003C3F52" w:rsidRDefault="003C3F52" w:rsidP="003C3F52">
                  <w:pPr>
                    <w:jc w:val="center"/>
                  </w:pPr>
                  <w:r>
                    <w:t>Elaborar y documentar un plan para cada trabajo a realizar.</w:t>
                  </w:r>
                </w:p>
              </w:txbxContent>
            </v:textbox>
          </v:roundrect>
        </w:pict>
      </w:r>
      <w:r w:rsidR="008E62A8">
        <w:rPr>
          <w:noProof/>
          <w:lang w:val="en-US"/>
        </w:rPr>
        <w:pict>
          <v:shape id="_x0000_s1071" type="#_x0000_t32" style="position:absolute;left:0;text-align:left;margin-left:84.6pt;margin-top:304.75pt;width:22.6pt;height:0;flip:x;z-index:251711488" o:connectortype="straight" strokecolor="#c0504d [3205]" strokeweight="1pt">
            <v:stroke dashstyle="dash" endarrow="block"/>
            <v:shadow color="#868686"/>
          </v:shape>
        </w:pict>
      </w:r>
      <w:r w:rsidR="008E62A8">
        <w:rPr>
          <w:noProof/>
          <w:lang w:val="en-US"/>
        </w:rPr>
        <w:pict>
          <v:roundrect id="_x0000_s1068" style="position:absolute;left:0;text-align:left;margin-left:-49.6pt;margin-top:203.35pt;width:148.25pt;height:57.8pt;z-index:251708416" arcsize="10923f" fillcolor="white [3201]" strokecolor="#c0504d [3205]" strokeweight="1pt">
            <v:stroke dashstyle="dash"/>
            <v:shadow color="#868686"/>
            <v:textbox style="mso-next-textbox:#_x0000_s1068">
              <w:txbxContent>
                <w:p w:rsidR="008E62A8" w:rsidRPr="00A6527F" w:rsidRDefault="008E62A8" w:rsidP="008E62A8">
                  <w:pPr>
                    <w:spacing w:line="240" w:lineRule="auto"/>
                  </w:pPr>
                  <w:r>
                    <w:t>Evaluar y contribuir a la mejora de los procesos de gobierno, gestión y control.</w:t>
                  </w:r>
                </w:p>
              </w:txbxContent>
            </v:textbox>
          </v:roundrect>
        </w:pict>
      </w:r>
      <w:r w:rsidR="008E62A8">
        <w:rPr>
          <w:noProof/>
          <w:lang w:val="en-US"/>
        </w:rPr>
        <w:pict>
          <v:shape id="_x0000_s1069" type="#_x0000_t32" style="position:absolute;left:0;text-align:left;margin-left:98.65pt;margin-top:222.6pt;width:22.6pt;height:0;flip:x;z-index:251709440" o:connectortype="straight" strokecolor="#c0504d [3205]" strokeweight="1pt">
            <v:stroke dashstyle="dash" endarrow="block"/>
            <v:shadow color="#868686"/>
          </v:shape>
        </w:pict>
      </w:r>
      <w:r w:rsidR="008E62A8">
        <w:rPr>
          <w:noProof/>
          <w:lang w:val="en-US"/>
        </w:rPr>
        <w:pict>
          <v:rect id="_x0000_s1030" style="position:absolute;left:0;text-align:left;margin-left:120.85pt;margin-top:205.2pt;width:182.9pt;height:24.8pt;z-index:251687936" o:regroupid="5" fillcolor="white [3201]" strokecolor="#b2a1c7 [1943]" strokeweight="1pt">
            <v:fill color2="#ccc0d9 [1303]" focusposition="1" focussize="" focus="100%" type="gradient"/>
            <v:shadow on="t" type="perspective" color="#3f3151 [1607]" opacity=".5" offset="1pt" offset2="-3pt"/>
            <v:textbox style="mso-next-textbox:#_x0000_s1030">
              <w:txbxContent>
                <w:p w:rsidR="00800755" w:rsidRPr="00800755" w:rsidRDefault="00800755" w:rsidP="00800755">
                  <w:pPr>
                    <w:rPr>
                      <w:b/>
                      <w:sz w:val="24"/>
                      <w:szCs w:val="24"/>
                    </w:rPr>
                  </w:pPr>
                  <w:r>
                    <w:rPr>
                      <w:b/>
                      <w:sz w:val="24"/>
                      <w:szCs w:val="24"/>
                    </w:rPr>
                    <w:t>2100 Naturaleza del Trabajo.</w:t>
                  </w:r>
                </w:p>
              </w:txbxContent>
            </v:textbox>
          </v:rect>
        </w:pict>
      </w:r>
      <w:r w:rsidR="008E62A8">
        <w:rPr>
          <w:noProof/>
          <w:lang w:val="en-US"/>
        </w:rPr>
        <w:pict>
          <v:shape id="_x0000_s1067" type="#_x0000_t32" style="position:absolute;left:0;text-align:left;margin-left:92.4pt;margin-top:40.25pt;width:22.6pt;height:0;flip:x;z-index:251707392" o:connectortype="straight" strokecolor="#c0504d [3205]" strokeweight="1pt">
            <v:stroke dashstyle="dash" endarrow="block"/>
            <v:shadow color="#868686"/>
          </v:shape>
        </w:pict>
      </w:r>
      <w:r w:rsidR="008E62A8">
        <w:rPr>
          <w:noProof/>
          <w:lang w:val="en-US"/>
        </w:rPr>
        <w:pict>
          <v:rect id="_x0000_s1065" style="position:absolute;left:0;text-align:left;margin-left:418.75pt;margin-top:494.2pt;width:215.1pt;height:49.4pt;z-index:251705344" fillcolor="white [3201]" strokecolor="#8064a2 [3207]" strokeweight="2.5pt">
            <v:shadow color="#868686"/>
            <v:textbox style="mso-next-textbox:#_x0000_s1065">
              <w:txbxContent>
                <w:p w:rsidR="008E62A8" w:rsidRDefault="008E62A8" w:rsidP="008E62A8">
                  <w:pPr>
                    <w:spacing w:after="0" w:line="240" w:lineRule="auto"/>
                  </w:pPr>
                  <w:r>
                    <w:t>Definiciones técnicas de las palabras mencionadas en la norma para una mejor comprensión.</w:t>
                  </w:r>
                </w:p>
              </w:txbxContent>
            </v:textbox>
          </v:rect>
        </w:pict>
      </w:r>
      <w:r w:rsidR="008E62A8">
        <w:rPr>
          <w:noProof/>
          <w:lang w:val="en-US"/>
        </w:rPr>
        <w:pict>
          <v:rect id="_x0000_s1064" style="position:absolute;left:0;text-align:left;margin-left:344.85pt;margin-top:503.55pt;width:67.65pt;height:24.8pt;z-index:251704320" fillcolor="white [3201]" strokecolor="#b2a1c7 [1943]" strokeweight="1pt">
            <v:fill color2="#ccc0d9 [1303]" focusposition="1" focussize="" focus="100%" type="gradient"/>
            <v:shadow on="t" type="perspective" color="#3f3151 [1607]" opacity=".5" offset="1pt" offset2="-3pt"/>
            <v:textbox style="mso-next-textbox:#_x0000_s1064">
              <w:txbxContent>
                <w:p w:rsidR="008E62A8" w:rsidRPr="00800755" w:rsidRDefault="008E62A8" w:rsidP="008E62A8">
                  <w:pPr>
                    <w:rPr>
                      <w:b/>
                      <w:sz w:val="24"/>
                      <w:szCs w:val="24"/>
                    </w:rPr>
                  </w:pPr>
                  <w:r>
                    <w:rPr>
                      <w:b/>
                      <w:sz w:val="24"/>
                      <w:szCs w:val="24"/>
                    </w:rPr>
                    <w:t>Glosario</w:t>
                  </w:r>
                </w:p>
              </w:txbxContent>
            </v:textbox>
          </v:rect>
        </w:pict>
      </w:r>
      <w:r w:rsidR="008E62A8">
        <w:rPr>
          <w:noProof/>
          <w:lang w:val="en-US"/>
        </w:rPr>
        <w:pict>
          <v:roundrect id="_x0000_s1066" style="position:absolute;left:0;text-align:left;margin-left:-30.15pt;margin-top:7.25pt;width:122.55pt;height:57.8pt;z-index:251706368" arcsize="10923f" fillcolor="white [3201]" strokecolor="#c0504d [3205]" strokeweight="1pt">
            <v:stroke dashstyle="dash"/>
            <v:shadow color="#868686"/>
            <v:textbox>
              <w:txbxContent>
                <w:p w:rsidR="008E62A8" w:rsidRDefault="008E62A8" w:rsidP="008E62A8">
                  <w:r>
                    <w:t>Gestionar de forma eficaz la actividad de la auditoría.</w:t>
                  </w:r>
                </w:p>
              </w:txbxContent>
            </v:textbox>
          </v:roundrect>
        </w:pict>
      </w:r>
      <w:r w:rsidR="008E62A8">
        <w:rPr>
          <w:noProof/>
          <w:lang w:val="en-US"/>
        </w:rPr>
        <w:pict>
          <v:shape id="_x0000_s1063" type="#_x0000_t32" style="position:absolute;left:0;text-align:left;margin-left:321.05pt;margin-top:517.85pt;width:22.5pt;height:0;z-index:251703296" o:connectortype="straight" strokecolor="#8064a2 [3207]" strokeweight="2.5pt">
            <v:shadow color="#868686"/>
          </v:shape>
        </w:pict>
      </w:r>
      <w:r w:rsidR="008E62A8">
        <w:rPr>
          <w:noProof/>
          <w:lang w:val="en-US"/>
        </w:rPr>
        <w:pict>
          <v:shape id="_x0000_s1027" type="#_x0000_t32" style="position:absolute;left:0;text-align:left;margin-left:320.4pt;margin-top:25.6pt;width:.6pt;height:492.1pt;flip:x;z-index:251659264" o:connectortype="straight" strokecolor="#8064a2 [3207]" strokeweight="2.5pt">
            <v:shadow color="#868686"/>
          </v:shape>
        </w:pict>
      </w:r>
      <w:r w:rsidR="008E62A8">
        <w:rPr>
          <w:noProof/>
          <w:lang w:val="en-US"/>
        </w:rPr>
        <w:pict>
          <v:rect id="_x0000_s1060" style="position:absolute;left:0;text-align:left;margin-left:343.55pt;margin-top:403.6pt;width:259.3pt;height:79.85pt;z-index:251698176" fillcolor="white [3201]" strokecolor="#8064a2 [3207]" strokeweight="2.5pt">
            <v:shadow color="#868686"/>
            <v:textbox style="mso-next-textbox:#_x0000_s1060">
              <w:txbxContent>
                <w:p w:rsidR="00E35C79" w:rsidRDefault="008E62A8" w:rsidP="00E35C79">
                  <w:pPr>
                    <w:spacing w:after="0" w:line="240" w:lineRule="auto"/>
                    <w:ind w:right="-97"/>
                  </w:pPr>
                  <w:r>
                    <w:t>Cuando la dirección ha aceptado que el riesgo residual pueda ser inaceptable para la organización, se debe tratar el asunto con la alta dirección. Si no se resuelve el director ejecutivo de la auditoría debe informar dicha situación al  consejo.</w:t>
                  </w:r>
                  <w:r w:rsidR="00F52C53">
                    <w:t xml:space="preserve"> </w:t>
                  </w:r>
                </w:p>
              </w:txbxContent>
            </v:textbox>
          </v:rect>
        </w:pict>
      </w:r>
      <w:r w:rsidR="008E62A8">
        <w:rPr>
          <w:noProof/>
          <w:lang w:val="en-US"/>
        </w:rPr>
        <w:pict>
          <v:shape id="_x0000_s1052" type="#_x0000_t32" style="position:absolute;left:0;text-align:left;margin-left:297.9pt;margin-top:430.05pt;width:22.5pt;height:0;z-index:251684864" o:connectortype="straight" strokecolor="#8064a2 [3207]" strokeweight="2.5pt">
            <v:shadow color="#868686"/>
          </v:shape>
        </w:pict>
      </w:r>
      <w:r w:rsidR="00F52C53">
        <w:rPr>
          <w:noProof/>
          <w:lang w:val="en-US"/>
        </w:rPr>
        <w:pict>
          <v:shape id="_x0000_s1061" type="#_x0000_t32" style="position:absolute;left:0;text-align:left;margin-left:436.45pt;margin-top:7.25pt;width:24.85pt;height:0;z-index:251701248" o:connectortype="straight" strokecolor="#8064a2 [3207]" strokeweight="2.5pt">
            <v:shadow color="#868686"/>
          </v:shape>
        </w:pict>
      </w:r>
      <w:r w:rsidR="00F52C53">
        <w:rPr>
          <w:noProof/>
          <w:lang w:val="en-US"/>
        </w:rPr>
        <w:pict>
          <v:rect id="_x0000_s1045" style="position:absolute;left:0;text-align:left;margin-left:343.75pt;margin-top:358.4pt;width:217pt;height:39.75pt;z-index:251699200" o:regroupid="7" fillcolor="white [3201]" strokecolor="#b2a1c7 [1943]" strokeweight="1pt">
            <v:fill color2="#ccc0d9 [1303]" focusposition="1" focussize="" focus="100%" type="gradient"/>
            <v:shadow on="t" type="perspective" color="#3f3151 [1607]" opacity=".5" offset="1pt" offset2="-3pt"/>
            <v:textbox style="mso-next-textbox:#_x0000_s1045">
              <w:txbxContent>
                <w:p w:rsidR="006D0946" w:rsidRPr="00800755" w:rsidRDefault="00E35C79" w:rsidP="006D0946">
                  <w:pPr>
                    <w:rPr>
                      <w:b/>
                      <w:sz w:val="24"/>
                      <w:szCs w:val="24"/>
                    </w:rPr>
                  </w:pPr>
                  <w:r>
                    <w:rPr>
                      <w:b/>
                      <w:sz w:val="24"/>
                      <w:szCs w:val="24"/>
                    </w:rPr>
                    <w:t xml:space="preserve">2600 </w:t>
                  </w:r>
                  <w:r w:rsidR="00F52C53">
                    <w:rPr>
                      <w:b/>
                      <w:sz w:val="24"/>
                      <w:szCs w:val="24"/>
                    </w:rPr>
                    <w:t xml:space="preserve"> Decisión de Aceptación de los Riesgos por la Dirección.</w:t>
                  </w:r>
                </w:p>
              </w:txbxContent>
            </v:textbox>
          </v:rect>
        </w:pict>
      </w:r>
      <w:r w:rsidR="00E35C79">
        <w:rPr>
          <w:noProof/>
          <w:lang w:val="en-US"/>
        </w:rPr>
        <w:pict>
          <v:rect id="_x0000_s1044" style="position:absolute;left:0;text-align:left;margin-left:344.85pt;margin-top:236.35pt;width:174.5pt;height:24.8pt;z-index:251691008" o:regroupid="6" fillcolor="white [3201]" strokecolor="#b2a1c7 [1943]" strokeweight="1pt">
            <v:fill color2="#ccc0d9 [1303]" focusposition="1" focussize="" focus="100%" type="gradient"/>
            <v:shadow on="t" type="perspective" color="#3f3151 [1607]" opacity=".5" offset="1pt" offset2="-3pt"/>
            <v:textbox style="mso-next-textbox:#_x0000_s1044">
              <w:txbxContent>
                <w:p w:rsidR="00170A35" w:rsidRPr="00800755" w:rsidRDefault="00170A35" w:rsidP="00170A35">
                  <w:pPr>
                    <w:rPr>
                      <w:b/>
                      <w:sz w:val="24"/>
                      <w:szCs w:val="24"/>
                    </w:rPr>
                  </w:pPr>
                  <w:r>
                    <w:rPr>
                      <w:b/>
                      <w:sz w:val="24"/>
                      <w:szCs w:val="24"/>
                    </w:rPr>
                    <w:t>2500 Seguimiento del Proyecto</w:t>
                  </w:r>
                </w:p>
              </w:txbxContent>
            </v:textbox>
          </v:rect>
        </w:pict>
      </w:r>
      <w:r w:rsidR="00E35C79">
        <w:rPr>
          <w:noProof/>
          <w:lang w:val="en-US"/>
        </w:rPr>
        <w:pict>
          <v:shape id="_x0000_s1046" type="#_x0000_t32" style="position:absolute;left:0;text-align:left;margin-left:321.05pt;margin-top:373.25pt;width:21.3pt;height:.05pt;z-index:-251616256" o:connectortype="straight" o:regroupid="7" strokecolor="#8064a2 [3207]" strokeweight="2.5pt">
            <v:shadow color="#868686"/>
          </v:shape>
        </w:pict>
      </w:r>
      <w:r w:rsidR="00E35C79">
        <w:rPr>
          <w:noProof/>
          <w:lang w:val="en-US"/>
        </w:rPr>
        <w:pict>
          <v:shape id="_x0000_s1043" type="#_x0000_t32" style="position:absolute;left:0;text-align:left;margin-left:321.05pt;margin-top:250.65pt;width:22.5pt;height:0;z-index:251689984" o:connectortype="straight" o:regroupid="6" strokecolor="#8064a2 [3207]" strokeweight="2.5pt">
            <v:shadow color="#868686"/>
          </v:shape>
        </w:pict>
      </w:r>
      <w:r w:rsidR="00E35C79">
        <w:rPr>
          <w:noProof/>
          <w:lang w:val="en-US"/>
        </w:rPr>
        <w:pict>
          <v:rect id="_x0000_s1058" style="position:absolute;left:0;text-align:left;margin-left:343.55pt;margin-top:69.75pt;width:223.5pt;height:150.05pt;z-index:251696128" fillcolor="white [3201]" strokecolor="#8064a2 [3207]" strokeweight="2.5pt">
            <v:shadow color="#868686"/>
            <v:textbox style="mso-next-textbox:#_x0000_s1058">
              <w:txbxContent>
                <w:p w:rsidR="00C01DC5" w:rsidRDefault="00C01DC5" w:rsidP="00C01DC5">
                  <w:pPr>
                    <w:pStyle w:val="ListParagraph"/>
                    <w:numPr>
                      <w:ilvl w:val="0"/>
                      <w:numId w:val="1"/>
                    </w:numPr>
                    <w:spacing w:after="0" w:line="240" w:lineRule="auto"/>
                    <w:ind w:left="180" w:right="-97" w:hanging="180"/>
                  </w:pPr>
                  <w:r>
                    <w:t>Criterios para la comunicación.</w:t>
                  </w:r>
                </w:p>
                <w:p w:rsidR="00C01DC5" w:rsidRDefault="00C01DC5" w:rsidP="00C01DC5">
                  <w:pPr>
                    <w:pStyle w:val="ListParagraph"/>
                    <w:numPr>
                      <w:ilvl w:val="0"/>
                      <w:numId w:val="1"/>
                    </w:numPr>
                    <w:spacing w:after="0" w:line="240" w:lineRule="auto"/>
                    <w:ind w:left="180" w:right="-97" w:hanging="180"/>
                  </w:pPr>
                  <w:r>
                    <w:t>Calidad de la comunicación</w:t>
                  </w:r>
                </w:p>
                <w:p w:rsidR="00C01DC5" w:rsidRDefault="00C01DC5" w:rsidP="00C01DC5">
                  <w:pPr>
                    <w:spacing w:after="0" w:line="240" w:lineRule="auto"/>
                    <w:ind w:left="180" w:right="-97"/>
                  </w:pPr>
                  <w:r>
                    <w:t>-Errores y omisiones</w:t>
                  </w:r>
                </w:p>
                <w:p w:rsidR="00C01DC5" w:rsidRDefault="00C01DC5" w:rsidP="00C01DC5">
                  <w:pPr>
                    <w:pStyle w:val="ListParagraph"/>
                    <w:numPr>
                      <w:ilvl w:val="0"/>
                      <w:numId w:val="1"/>
                    </w:numPr>
                    <w:spacing w:after="0" w:line="240" w:lineRule="auto"/>
                    <w:ind w:left="180" w:right="-97" w:hanging="180"/>
                  </w:pPr>
                  <w:r>
                    <w:t>Uso realizado de conformidad con las normas internacionales para el ejercicio de contaduría pública y auditoría interna.</w:t>
                  </w:r>
                </w:p>
                <w:p w:rsidR="00C01DC5" w:rsidRDefault="00C01DC5" w:rsidP="00C01DC5">
                  <w:pPr>
                    <w:pStyle w:val="ListParagraph"/>
                    <w:numPr>
                      <w:ilvl w:val="0"/>
                      <w:numId w:val="1"/>
                    </w:numPr>
                    <w:spacing w:after="0" w:line="240" w:lineRule="auto"/>
                    <w:ind w:left="180" w:right="-97" w:hanging="180"/>
                  </w:pPr>
                  <w:r>
                    <w:t>Declaración de  incumplimiento de las Normas.</w:t>
                  </w:r>
                </w:p>
                <w:p w:rsidR="00C01DC5" w:rsidRDefault="00C01DC5" w:rsidP="00C01DC5">
                  <w:pPr>
                    <w:pStyle w:val="ListParagraph"/>
                    <w:numPr>
                      <w:ilvl w:val="0"/>
                      <w:numId w:val="1"/>
                    </w:numPr>
                    <w:spacing w:after="0" w:line="240" w:lineRule="auto"/>
                    <w:ind w:left="180" w:right="-97" w:hanging="180"/>
                  </w:pPr>
                  <w:r>
                    <w:t>Difusión de resultados.</w:t>
                  </w:r>
                </w:p>
                <w:p w:rsidR="00C01DC5" w:rsidRDefault="00C01DC5" w:rsidP="00C01DC5">
                  <w:pPr>
                    <w:pStyle w:val="ListParagraph"/>
                    <w:numPr>
                      <w:ilvl w:val="0"/>
                      <w:numId w:val="1"/>
                    </w:numPr>
                    <w:spacing w:after="0" w:line="240" w:lineRule="auto"/>
                    <w:ind w:left="180" w:right="-97" w:hanging="180"/>
                  </w:pPr>
                  <w:r>
                    <w:t>Opiniones Globales</w:t>
                  </w:r>
                </w:p>
              </w:txbxContent>
            </v:textbox>
          </v:rect>
        </w:pict>
      </w:r>
      <w:r w:rsidR="00E35C79">
        <w:rPr>
          <w:noProof/>
          <w:lang w:val="en-US"/>
        </w:rPr>
        <w:pict>
          <v:shape id="_x0000_s1056" type="#_x0000_t32" style="position:absolute;left:0;text-align:left;margin-left:320.4pt;margin-top:54.05pt;width:23.15pt;height:0;z-index:251695104" o:connectortype="straight" strokecolor="#8064a2 [3207]" strokeweight="2.5pt">
            <v:shadow color="#868686"/>
          </v:shape>
        </w:pict>
      </w:r>
      <w:r w:rsidR="00E35C79">
        <w:rPr>
          <w:noProof/>
          <w:lang w:val="en-US"/>
        </w:rPr>
        <w:pict>
          <v:rect id="_x0000_s1042" style="position:absolute;left:0;text-align:left;margin-left:343.9pt;margin-top:40.25pt;width:243.3pt;height:24.8pt;z-index:251688960" o:regroupid="6" fillcolor="white [3201]" strokecolor="#b2a1c7 [1943]" strokeweight="1pt">
            <v:fill color2="#ccc0d9 [1303]" focusposition="1" focussize="" focus="100%" type="gradient"/>
            <v:shadow on="t" type="perspective" color="#3f3151 [1607]" opacity=".5" offset="1pt" offset2="-3pt"/>
            <v:textbox style="mso-next-textbox:#_x0000_s1042">
              <w:txbxContent>
                <w:p w:rsidR="00170A35" w:rsidRPr="00800755" w:rsidRDefault="00170A35" w:rsidP="00170A35">
                  <w:pPr>
                    <w:spacing w:line="240" w:lineRule="auto"/>
                    <w:rPr>
                      <w:rFonts w:ascii="Berlin Sans FB" w:hAnsi="Berlin Sans FB"/>
                      <w:b/>
                      <w:sz w:val="24"/>
                      <w:szCs w:val="24"/>
                    </w:rPr>
                  </w:pPr>
                  <w:r>
                    <w:rPr>
                      <w:b/>
                      <w:sz w:val="24"/>
                      <w:szCs w:val="24"/>
                    </w:rPr>
                    <w:t>2400 Comunicación de Resultados.</w:t>
                  </w:r>
                </w:p>
              </w:txbxContent>
            </v:textbox>
          </v:rect>
        </w:pict>
      </w:r>
      <w:r w:rsidR="00E35C79">
        <w:rPr>
          <w:noProof/>
          <w:lang w:val="en-US"/>
        </w:rPr>
        <w:pict>
          <v:rect id="_x0000_s1059" style="position:absolute;left:0;text-align:left;margin-left:344.85pt;margin-top:265.95pt;width:282.75pt;height:79.85pt;z-index:251697152" fillcolor="white [3201]" strokecolor="#8064a2 [3207]" strokeweight="2.5pt">
            <v:shadow color="#868686"/>
            <v:textbox style="mso-next-textbox:#_x0000_s1059">
              <w:txbxContent>
                <w:p w:rsidR="00E35C79" w:rsidRDefault="00E35C79" w:rsidP="00E35C79">
                  <w:pPr>
                    <w:spacing w:after="0" w:line="240" w:lineRule="auto"/>
                    <w:ind w:right="-97"/>
                  </w:pPr>
                  <w:r>
                    <w:t>Establecer y mantener un sistema para vigilar la disposición de los resultados comunicados a la dirección.</w:t>
                  </w:r>
                </w:p>
                <w:p w:rsidR="00E35C79" w:rsidRDefault="00E35C79" w:rsidP="00E35C79">
                  <w:pPr>
                    <w:pStyle w:val="ListParagraph"/>
                    <w:numPr>
                      <w:ilvl w:val="0"/>
                      <w:numId w:val="1"/>
                    </w:numPr>
                    <w:spacing w:after="0" w:line="240" w:lineRule="auto"/>
                    <w:ind w:left="180" w:right="-97" w:hanging="180"/>
                  </w:pPr>
                  <w:r>
                    <w:t>Proceso de Seguimiento sobre las acciones de la dirección</w:t>
                  </w:r>
                </w:p>
                <w:p w:rsidR="00E35C79" w:rsidRDefault="00E35C79" w:rsidP="00E35C79">
                  <w:pPr>
                    <w:pStyle w:val="ListParagraph"/>
                    <w:numPr>
                      <w:ilvl w:val="0"/>
                      <w:numId w:val="1"/>
                    </w:numPr>
                    <w:spacing w:after="0" w:line="240" w:lineRule="auto"/>
                    <w:ind w:left="180" w:right="-97" w:hanging="180"/>
                  </w:pPr>
                  <w:r>
                    <w:t xml:space="preserve">La </w:t>
                  </w:r>
                  <w:proofErr w:type="spellStart"/>
                  <w:r>
                    <w:t>auditoria</w:t>
                  </w:r>
                  <w:proofErr w:type="spellEnd"/>
                  <w:r>
                    <w:t xml:space="preserve"> interna debe vigilar la disposición de los resultados de los trabajos de consultoría.</w:t>
                  </w:r>
                </w:p>
                <w:p w:rsidR="00E35C79" w:rsidRDefault="00E35C79" w:rsidP="00E35C79">
                  <w:pPr>
                    <w:spacing w:after="0" w:line="240" w:lineRule="auto"/>
                    <w:ind w:right="-97"/>
                  </w:pPr>
                </w:p>
              </w:txbxContent>
            </v:textbox>
          </v:rect>
        </w:pict>
      </w:r>
      <w:r w:rsidR="00E35C79">
        <w:rPr>
          <w:noProof/>
          <w:lang w:val="en-US"/>
        </w:rPr>
        <w:pict>
          <v:rect id="_x0000_s1035" style="position:absolute;left:0;text-align:left;margin-left:123.75pt;margin-top:417.5pt;width:174.35pt;height:24.8pt;z-index:251683840" o:regroupid="4" fillcolor="white [3201]" strokecolor="#b2a1c7 [1943]" strokeweight="1pt">
            <v:fill color2="#ccc0d9 [1303]" focusposition="1" focussize="" focus="100%" type="gradient"/>
            <v:shadow on="t" type="perspective" color="#3f3151 [1607]" opacity=".5" offset="1pt" offset2="-3pt"/>
            <v:textbox style="mso-next-textbox:#_x0000_s1035">
              <w:txbxContent>
                <w:p w:rsidR="00800755" w:rsidRPr="00800755" w:rsidRDefault="00800755" w:rsidP="00800755">
                  <w:pPr>
                    <w:rPr>
                      <w:b/>
                      <w:sz w:val="24"/>
                      <w:szCs w:val="24"/>
                    </w:rPr>
                  </w:pPr>
                  <w:r>
                    <w:rPr>
                      <w:b/>
                      <w:sz w:val="24"/>
                      <w:szCs w:val="24"/>
                    </w:rPr>
                    <w:t>2300 Desempeño del Trabajo</w:t>
                  </w:r>
                  <w:r w:rsidR="00170A35">
                    <w:rPr>
                      <w:b/>
                      <w:sz w:val="24"/>
                      <w:szCs w:val="24"/>
                    </w:rPr>
                    <w:t>.</w:t>
                  </w:r>
                </w:p>
              </w:txbxContent>
            </v:textbox>
          </v:rect>
        </w:pict>
      </w:r>
      <w:r w:rsidR="00E35C79">
        <w:rPr>
          <w:noProof/>
          <w:lang w:val="en-US"/>
        </w:rPr>
        <w:pict>
          <v:rect id="_x0000_s1055" style="position:absolute;left:0;text-align:left;margin-left:92.4pt;margin-top:447.75pt;width:207.6pt;height:69.95pt;z-index:251694080" fillcolor="white [3201]" strokecolor="#8064a2 [3207]" strokeweight="2.5pt">
            <v:shadow color="#868686"/>
            <v:textbox style="mso-next-textbox:#_x0000_s1055">
              <w:txbxContent>
                <w:p w:rsidR="00315785" w:rsidRDefault="00315785" w:rsidP="00315785">
                  <w:pPr>
                    <w:pStyle w:val="ListParagraph"/>
                    <w:numPr>
                      <w:ilvl w:val="0"/>
                      <w:numId w:val="1"/>
                    </w:numPr>
                    <w:spacing w:after="0" w:line="240" w:lineRule="auto"/>
                    <w:ind w:left="180" w:right="-97" w:hanging="180"/>
                  </w:pPr>
                  <w:r>
                    <w:t xml:space="preserve">Identificación de la información </w:t>
                  </w:r>
                </w:p>
                <w:p w:rsidR="00315785" w:rsidRDefault="00315785" w:rsidP="00315785">
                  <w:pPr>
                    <w:pStyle w:val="ListParagraph"/>
                    <w:numPr>
                      <w:ilvl w:val="0"/>
                      <w:numId w:val="1"/>
                    </w:numPr>
                    <w:spacing w:after="0" w:line="240" w:lineRule="auto"/>
                    <w:ind w:left="180" w:right="-97" w:hanging="180"/>
                  </w:pPr>
                  <w:r>
                    <w:t>Análisis y evaluación</w:t>
                  </w:r>
                </w:p>
                <w:p w:rsidR="00315785" w:rsidRDefault="00C01DC5" w:rsidP="00315785">
                  <w:pPr>
                    <w:pStyle w:val="ListParagraph"/>
                    <w:numPr>
                      <w:ilvl w:val="0"/>
                      <w:numId w:val="1"/>
                    </w:numPr>
                    <w:spacing w:after="0" w:line="240" w:lineRule="auto"/>
                    <w:ind w:left="180" w:right="-97" w:hanging="180"/>
                  </w:pPr>
                  <w:r>
                    <w:t xml:space="preserve">Documentación de la comunicación </w:t>
                  </w:r>
                </w:p>
                <w:p w:rsidR="00C01DC5" w:rsidRDefault="00C01DC5" w:rsidP="00315785">
                  <w:pPr>
                    <w:pStyle w:val="ListParagraph"/>
                    <w:numPr>
                      <w:ilvl w:val="0"/>
                      <w:numId w:val="1"/>
                    </w:numPr>
                    <w:spacing w:after="0" w:line="240" w:lineRule="auto"/>
                    <w:ind w:left="180" w:right="-97" w:hanging="180"/>
                  </w:pPr>
                  <w:r>
                    <w:t xml:space="preserve">Supervisión del trabajo. </w:t>
                  </w:r>
                </w:p>
              </w:txbxContent>
            </v:textbox>
          </v:rect>
        </w:pict>
      </w:r>
      <w:r w:rsidR="00E35C79">
        <w:rPr>
          <w:noProof/>
          <w:lang w:val="en-US"/>
        </w:rPr>
        <w:pict>
          <v:rect id="_x0000_s1054" style="position:absolute;left:0;text-align:left;margin-left:92.4pt;margin-top:326.3pt;width:207.6pt;height:79.85pt;z-index:251693056" fillcolor="white [3201]" strokecolor="#8064a2 [3207]" strokeweight="2.5pt">
            <v:shadow color="#868686"/>
            <v:textbox>
              <w:txbxContent>
                <w:p w:rsidR="00315785" w:rsidRDefault="00315785" w:rsidP="00315785">
                  <w:pPr>
                    <w:pStyle w:val="ListParagraph"/>
                    <w:numPr>
                      <w:ilvl w:val="0"/>
                      <w:numId w:val="1"/>
                    </w:numPr>
                    <w:spacing w:after="0" w:line="240" w:lineRule="auto"/>
                    <w:ind w:left="180" w:right="-97" w:hanging="180"/>
                  </w:pPr>
                  <w:r>
                    <w:t>Consideraciones sobre planificación</w:t>
                  </w:r>
                </w:p>
                <w:p w:rsidR="00315785" w:rsidRDefault="00315785" w:rsidP="00315785">
                  <w:pPr>
                    <w:pStyle w:val="ListParagraph"/>
                    <w:numPr>
                      <w:ilvl w:val="0"/>
                      <w:numId w:val="1"/>
                    </w:numPr>
                    <w:spacing w:after="0" w:line="240" w:lineRule="auto"/>
                    <w:ind w:left="180" w:right="-97" w:hanging="180"/>
                  </w:pPr>
                  <w:r>
                    <w:t>Objetivos del trabajo.</w:t>
                  </w:r>
                </w:p>
                <w:p w:rsidR="00315785" w:rsidRDefault="00315785" w:rsidP="00315785">
                  <w:pPr>
                    <w:pStyle w:val="ListParagraph"/>
                    <w:numPr>
                      <w:ilvl w:val="0"/>
                      <w:numId w:val="1"/>
                    </w:numPr>
                    <w:spacing w:after="0" w:line="240" w:lineRule="auto"/>
                    <w:ind w:left="180" w:right="-97" w:hanging="180"/>
                  </w:pPr>
                  <w:r>
                    <w:t xml:space="preserve">Alcance de trabajo </w:t>
                  </w:r>
                </w:p>
                <w:p w:rsidR="00315785" w:rsidRDefault="00315785" w:rsidP="00315785">
                  <w:pPr>
                    <w:pStyle w:val="ListParagraph"/>
                    <w:numPr>
                      <w:ilvl w:val="0"/>
                      <w:numId w:val="1"/>
                    </w:numPr>
                    <w:spacing w:after="0" w:line="240" w:lineRule="auto"/>
                    <w:ind w:left="180" w:right="-97" w:hanging="180"/>
                  </w:pPr>
                  <w:r>
                    <w:t>Asignación de recursos para el trabajo</w:t>
                  </w:r>
                </w:p>
                <w:p w:rsidR="00315785" w:rsidRDefault="00315785" w:rsidP="00315785">
                  <w:pPr>
                    <w:pStyle w:val="ListParagraph"/>
                    <w:numPr>
                      <w:ilvl w:val="0"/>
                      <w:numId w:val="1"/>
                    </w:numPr>
                    <w:spacing w:after="0" w:line="240" w:lineRule="auto"/>
                    <w:ind w:left="180" w:right="-97" w:hanging="180"/>
                  </w:pPr>
                  <w:r>
                    <w:t xml:space="preserve">Programa de trabajo. </w:t>
                  </w:r>
                </w:p>
                <w:p w:rsidR="00315785" w:rsidRDefault="00315785" w:rsidP="00315785">
                  <w:pPr>
                    <w:spacing w:after="0" w:line="240" w:lineRule="auto"/>
                    <w:ind w:right="-97"/>
                  </w:pPr>
                </w:p>
              </w:txbxContent>
            </v:textbox>
          </v:rect>
        </w:pict>
      </w:r>
      <w:r w:rsidR="00E35C79">
        <w:rPr>
          <w:noProof/>
          <w:lang w:val="en-US"/>
        </w:rPr>
        <w:pict>
          <v:shape id="_x0000_s1053" type="#_x0000_t32" style="position:absolute;left:0;text-align:left;margin-left:297.9pt;margin-top:309.35pt;width:23.15pt;height:0;z-index:251692032" o:connectortype="straight" strokecolor="#8064a2 [3207]" strokeweight="2.5pt">
            <v:shadow color="#868686"/>
          </v:shape>
        </w:pict>
      </w:r>
      <w:r w:rsidR="00E35C79">
        <w:rPr>
          <w:noProof/>
          <w:lang w:val="en-US"/>
        </w:rPr>
        <w:pict>
          <v:rect id="_x0000_s1033" style="position:absolute;left:0;text-align:left;margin-left:112.9pt;margin-top:296.45pt;width:185pt;height:24.8pt;z-index:251681792" o:regroupid="4" fillcolor="white [3201]" strokecolor="#b2a1c7 [1943]" strokeweight="1pt">
            <v:fill color2="#ccc0d9 [1303]" focusposition="1" focussize="" focus="100%" type="gradient"/>
            <v:shadow on="t" type="perspective" color="#3f3151 [1607]" opacity=".5" offset="1pt" offset2="-3pt"/>
            <v:textbox style="mso-next-textbox:#_x0000_s1033">
              <w:txbxContent>
                <w:p w:rsidR="00800755" w:rsidRPr="00800755" w:rsidRDefault="00800755" w:rsidP="00800755">
                  <w:pPr>
                    <w:spacing w:line="240" w:lineRule="auto"/>
                    <w:rPr>
                      <w:rFonts w:ascii="Berlin Sans FB" w:hAnsi="Berlin Sans FB"/>
                      <w:b/>
                      <w:sz w:val="24"/>
                      <w:szCs w:val="24"/>
                    </w:rPr>
                  </w:pPr>
                  <w:r>
                    <w:rPr>
                      <w:b/>
                      <w:sz w:val="24"/>
                      <w:szCs w:val="24"/>
                    </w:rPr>
                    <w:t>2200 Planificación del Trabajo.</w:t>
                  </w:r>
                </w:p>
              </w:txbxContent>
            </v:textbox>
          </v:rect>
        </w:pict>
      </w:r>
      <w:r w:rsidR="00E35C79">
        <w:rPr>
          <w:noProof/>
          <w:lang w:val="en-US"/>
        </w:rPr>
        <w:pict>
          <v:shape id="_x0000_s1034" type="#_x0000_t32" style="position:absolute;left:0;text-align:left;margin-left:297.9pt;margin-top:217.4pt;width:23.15pt;height:0;z-index:251682816" o:connectortype="straight" o:regroupid="4" strokecolor="#8064a2 [3207]" strokeweight="2.5pt">
            <v:shadow color="#868686"/>
          </v:shape>
        </w:pict>
      </w:r>
      <w:r w:rsidR="00E35C79">
        <w:rPr>
          <w:noProof/>
          <w:lang w:val="en-US"/>
        </w:rPr>
        <w:pict>
          <v:rect id="_x0000_s1051" style="position:absolute;left:0;text-align:left;margin-left:135.45pt;margin-top:235.15pt;width:154.55pt;height:50.35pt;z-index:251680768" fillcolor="white [3201]" strokecolor="#8064a2 [3207]" strokeweight="2.5pt">
            <v:shadow color="#868686"/>
            <v:textbox style="mso-next-textbox:#_x0000_s1051">
              <w:txbxContent>
                <w:p w:rsidR="00E55E47" w:rsidRDefault="00315785" w:rsidP="00C01DC5">
                  <w:pPr>
                    <w:pStyle w:val="ListParagraph"/>
                    <w:numPr>
                      <w:ilvl w:val="0"/>
                      <w:numId w:val="1"/>
                    </w:numPr>
                    <w:spacing w:after="0" w:line="240" w:lineRule="auto"/>
                    <w:ind w:left="180" w:hanging="180"/>
                  </w:pPr>
                  <w:r>
                    <w:t>Gobierno</w:t>
                  </w:r>
                </w:p>
                <w:p w:rsidR="00315785" w:rsidRDefault="00315785" w:rsidP="00C01DC5">
                  <w:pPr>
                    <w:pStyle w:val="ListParagraph"/>
                    <w:numPr>
                      <w:ilvl w:val="0"/>
                      <w:numId w:val="1"/>
                    </w:numPr>
                    <w:spacing w:after="0" w:line="240" w:lineRule="auto"/>
                    <w:ind w:left="180" w:hanging="180"/>
                  </w:pPr>
                  <w:r>
                    <w:t>Gestión de Riesgos</w:t>
                  </w:r>
                </w:p>
                <w:p w:rsidR="00315785" w:rsidRDefault="00315785" w:rsidP="00C01DC5">
                  <w:pPr>
                    <w:pStyle w:val="ListParagraph"/>
                    <w:numPr>
                      <w:ilvl w:val="0"/>
                      <w:numId w:val="1"/>
                    </w:numPr>
                    <w:spacing w:after="0" w:line="240" w:lineRule="auto"/>
                    <w:ind w:left="180" w:hanging="180"/>
                  </w:pPr>
                  <w:r>
                    <w:t>Control</w:t>
                  </w:r>
                </w:p>
              </w:txbxContent>
            </v:textbox>
          </v:rect>
        </w:pict>
      </w:r>
      <w:r w:rsidR="00E35C79">
        <w:rPr>
          <w:noProof/>
          <w:lang w:val="en-US"/>
        </w:rPr>
        <w:pict>
          <v:rect id="_x0000_s1050" style="position:absolute;left:0;text-align:left;margin-left:49.45pt;margin-top:73.75pt;width:250.55pt;height:120.2pt;z-index:251679744" fillcolor="white [3201]" strokecolor="#8064a2 [3207]" strokeweight="2.5pt">
            <v:shadow color="#868686"/>
            <v:textbox>
              <w:txbxContent>
                <w:p w:rsidR="00E55E47" w:rsidRDefault="00E55E47" w:rsidP="00315785">
                  <w:pPr>
                    <w:pStyle w:val="ListParagraph"/>
                    <w:numPr>
                      <w:ilvl w:val="0"/>
                      <w:numId w:val="1"/>
                    </w:numPr>
                    <w:spacing w:after="0" w:line="240" w:lineRule="auto"/>
                    <w:ind w:left="180" w:right="-97" w:hanging="180"/>
                  </w:pPr>
                  <w:r>
                    <w:t xml:space="preserve">Planificación </w:t>
                  </w:r>
                </w:p>
                <w:p w:rsidR="00E55E47" w:rsidRDefault="00E55E47" w:rsidP="00315785">
                  <w:pPr>
                    <w:pStyle w:val="ListParagraph"/>
                    <w:numPr>
                      <w:ilvl w:val="0"/>
                      <w:numId w:val="1"/>
                    </w:numPr>
                    <w:spacing w:after="0" w:line="240" w:lineRule="auto"/>
                    <w:ind w:left="180" w:right="-97" w:hanging="180"/>
                  </w:pPr>
                  <w:r>
                    <w:t>Comunicación</w:t>
                  </w:r>
                </w:p>
                <w:p w:rsidR="00E55E47" w:rsidRDefault="00E55E47" w:rsidP="00315785">
                  <w:pPr>
                    <w:pStyle w:val="ListParagraph"/>
                    <w:numPr>
                      <w:ilvl w:val="0"/>
                      <w:numId w:val="1"/>
                    </w:numPr>
                    <w:spacing w:after="0" w:line="240" w:lineRule="auto"/>
                    <w:ind w:left="180" w:right="-97" w:hanging="180"/>
                  </w:pPr>
                  <w:r>
                    <w:t>Administración de Recursos</w:t>
                  </w:r>
                </w:p>
                <w:p w:rsidR="00E55E47" w:rsidRDefault="00E55E47" w:rsidP="00315785">
                  <w:pPr>
                    <w:pStyle w:val="ListParagraph"/>
                    <w:numPr>
                      <w:ilvl w:val="0"/>
                      <w:numId w:val="1"/>
                    </w:numPr>
                    <w:spacing w:after="0" w:line="240" w:lineRule="auto"/>
                    <w:ind w:left="180" w:right="-97" w:hanging="180"/>
                  </w:pPr>
                  <w:r>
                    <w:t xml:space="preserve">Políticas y Procedimientos </w:t>
                  </w:r>
                </w:p>
                <w:p w:rsidR="00E55E47" w:rsidRDefault="00E55E47" w:rsidP="00315785">
                  <w:pPr>
                    <w:pStyle w:val="ListParagraph"/>
                    <w:numPr>
                      <w:ilvl w:val="0"/>
                      <w:numId w:val="1"/>
                    </w:numPr>
                    <w:spacing w:after="0" w:line="240" w:lineRule="auto"/>
                    <w:ind w:left="180" w:right="-97" w:hanging="180"/>
                  </w:pPr>
                  <w:r>
                    <w:t>Coordinación</w:t>
                  </w:r>
                </w:p>
                <w:p w:rsidR="00E55E47" w:rsidRDefault="00E55E47" w:rsidP="00315785">
                  <w:pPr>
                    <w:pStyle w:val="ListParagraph"/>
                    <w:numPr>
                      <w:ilvl w:val="0"/>
                      <w:numId w:val="1"/>
                    </w:numPr>
                    <w:spacing w:after="0" w:line="240" w:lineRule="auto"/>
                    <w:ind w:left="180" w:right="-97" w:hanging="180"/>
                  </w:pPr>
                  <w:r>
                    <w:t>Informe a la alta dirección y al consejo</w:t>
                  </w:r>
                </w:p>
                <w:p w:rsidR="00E55E47" w:rsidRDefault="00E55E47" w:rsidP="00315785">
                  <w:pPr>
                    <w:pStyle w:val="ListParagraph"/>
                    <w:numPr>
                      <w:ilvl w:val="0"/>
                      <w:numId w:val="1"/>
                    </w:numPr>
                    <w:spacing w:after="0" w:line="240" w:lineRule="auto"/>
                    <w:ind w:left="180" w:right="-97" w:hanging="180"/>
                  </w:pPr>
                  <w:r>
                    <w:t>Proveedor de servicios externos y responsabilidad de la organización sobre auditoría.</w:t>
                  </w:r>
                </w:p>
              </w:txbxContent>
            </v:textbox>
          </v:rect>
        </w:pict>
      </w:r>
      <w:r w:rsidR="00315785">
        <w:rPr>
          <w:noProof/>
          <w:lang w:val="en-US"/>
        </w:rPr>
        <w:pict>
          <v:rect id="_x0000_s1028" style="position:absolute;left:0;text-align:left;margin-left:115pt;margin-top:33.75pt;width:182.9pt;height:34.75pt;z-index:251685888" o:regroupid="5" fillcolor="white [3201]" strokecolor="#b2a1c7 [1943]" strokeweight="1pt">
            <v:fill color2="#ccc0d9 [1303]" focusposition="1" focussize="" focus="100%" type="gradient"/>
            <v:shadow on="t" type="perspective" color="#3f3151 [1607]" opacity=".5" offset="1pt" offset2="-3pt"/>
            <v:textbox style="mso-next-textbox:#_x0000_s1028">
              <w:txbxContent>
                <w:p w:rsidR="00800755" w:rsidRPr="00800755" w:rsidRDefault="00800755" w:rsidP="00800755">
                  <w:pPr>
                    <w:spacing w:line="240" w:lineRule="auto"/>
                    <w:rPr>
                      <w:rFonts w:ascii="Berlin Sans FB" w:hAnsi="Berlin Sans FB"/>
                      <w:b/>
                      <w:sz w:val="24"/>
                      <w:szCs w:val="24"/>
                    </w:rPr>
                  </w:pPr>
                  <w:r w:rsidRPr="00800755">
                    <w:rPr>
                      <w:b/>
                      <w:sz w:val="24"/>
                      <w:szCs w:val="24"/>
                    </w:rPr>
                    <w:t>2000</w:t>
                  </w:r>
                  <w:r w:rsidR="00170A35">
                    <w:rPr>
                      <w:b/>
                      <w:sz w:val="24"/>
                      <w:szCs w:val="24"/>
                    </w:rPr>
                    <w:t xml:space="preserve"> Administración de la A</w:t>
                  </w:r>
                  <w:r w:rsidRPr="00800755">
                    <w:rPr>
                      <w:b/>
                      <w:sz w:val="24"/>
                      <w:szCs w:val="24"/>
                    </w:rPr>
                    <w:t xml:space="preserve">ctividad de </w:t>
                  </w:r>
                  <w:r w:rsidR="00170A35">
                    <w:rPr>
                      <w:b/>
                      <w:sz w:val="24"/>
                      <w:szCs w:val="24"/>
                    </w:rPr>
                    <w:t>Auditoría I</w:t>
                  </w:r>
                  <w:r w:rsidRPr="00800755">
                    <w:rPr>
                      <w:b/>
                      <w:sz w:val="24"/>
                      <w:szCs w:val="24"/>
                    </w:rPr>
                    <w:t>nterna.</w:t>
                  </w:r>
                </w:p>
              </w:txbxContent>
            </v:textbox>
          </v:rect>
        </w:pict>
      </w:r>
      <w:r w:rsidR="00315785">
        <w:rPr>
          <w:noProof/>
          <w:lang w:val="en-US"/>
        </w:rPr>
        <w:pict>
          <v:roundrect id="_x0000_s1026" style="position:absolute;left:0;text-align:left;margin-left:209.8pt;margin-top:-12.9pt;width:224.7pt;height:38.5pt;z-index:251658240" arcsize="10923f" fillcolor="#8064a2 [3207]" strokecolor="#f2f2f2 [3041]" strokeweight="3pt">
            <v:shadow on="t" type="perspective" color="#3f3151 [1607]" opacity=".5" offset="1pt" offset2="-1pt"/>
            <v:textbox>
              <w:txbxContent>
                <w:p w:rsidR="00553427" w:rsidRPr="00553427" w:rsidRDefault="00553427" w:rsidP="00553427">
                  <w:pPr>
                    <w:jc w:val="center"/>
                    <w:rPr>
                      <w:rFonts w:ascii="Script MT Bold" w:hAnsi="Script MT Bold"/>
                      <w:b/>
                      <w:color w:val="FFFFFF" w:themeColor="background1"/>
                      <w:sz w:val="40"/>
                      <w:szCs w:val="40"/>
                    </w:rPr>
                  </w:pPr>
                  <w:r w:rsidRPr="00553427">
                    <w:rPr>
                      <w:rFonts w:ascii="Script MT Bold" w:hAnsi="Script MT Bold"/>
                      <w:b/>
                      <w:color w:val="FFFFFF" w:themeColor="background1"/>
                      <w:sz w:val="40"/>
                      <w:szCs w:val="40"/>
                      <w:lang w:val="en-US"/>
                    </w:rPr>
                    <w:t xml:space="preserve">Norma de </w:t>
                  </w:r>
                  <w:r w:rsidRPr="00800755">
                    <w:rPr>
                      <w:rFonts w:ascii="Script MT Bold" w:hAnsi="Script MT Bold"/>
                      <w:b/>
                      <w:color w:val="FFFFFF" w:themeColor="background1"/>
                      <w:sz w:val="40"/>
                      <w:szCs w:val="40"/>
                    </w:rPr>
                    <w:t>Desempeño</w:t>
                  </w:r>
                </w:p>
              </w:txbxContent>
            </v:textbox>
          </v:roundrect>
        </w:pict>
      </w:r>
      <w:r w:rsidR="00315785">
        <w:rPr>
          <w:noProof/>
          <w:lang w:val="en-US"/>
        </w:rPr>
        <w:pict>
          <v:shape id="_x0000_s1029" type="#_x0000_t32" style="position:absolute;left:0;text-align:left;margin-left:297.9pt;margin-top:53.3pt;width:24.85pt;height:0;z-index:251686912" o:connectortype="straight" o:regroupid="5" strokecolor="#8064a2 [3207]" strokeweight="2.5pt">
            <v:shadow color="#868686"/>
          </v:shape>
        </w:pict>
      </w:r>
    </w:p>
    <w:sectPr w:rsidR="00482497" w:rsidRPr="00371D7D" w:rsidSect="00553427">
      <w:pgSz w:w="15840" w:h="12240" w:orient="landscape"/>
      <w:pgMar w:top="720" w:right="144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Script MT Bold">
    <w:panose1 w:val="03040602040607080904"/>
    <w:charset w:val="00"/>
    <w:family w:val="script"/>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E761E"/>
    <w:multiLevelType w:val="hybridMultilevel"/>
    <w:tmpl w:val="7D164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compat/>
  <w:rsids>
    <w:rsidRoot w:val="00371D7D"/>
    <w:rsid w:val="00003F7F"/>
    <w:rsid w:val="0005538F"/>
    <w:rsid w:val="00170A35"/>
    <w:rsid w:val="00180AD8"/>
    <w:rsid w:val="00312C0D"/>
    <w:rsid w:val="00315785"/>
    <w:rsid w:val="00371D7D"/>
    <w:rsid w:val="003C3F52"/>
    <w:rsid w:val="00482497"/>
    <w:rsid w:val="00553427"/>
    <w:rsid w:val="006D0946"/>
    <w:rsid w:val="007B18DE"/>
    <w:rsid w:val="00800755"/>
    <w:rsid w:val="008E62A8"/>
    <w:rsid w:val="00BA0D94"/>
    <w:rsid w:val="00C01DC5"/>
    <w:rsid w:val="00E35C79"/>
    <w:rsid w:val="00E55E47"/>
    <w:rsid w:val="00F52C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27"/>
        <o:r id="V:Rule4" type="connector" idref="#_x0000_s1029"/>
        <o:r id="V:Rule5" type="connector" idref="#_x0000_s1034"/>
        <o:r id="V:Rule7" type="connector" idref="#_x0000_s1043"/>
        <o:r id="V:Rule8" type="connector" idref="#_x0000_s1046"/>
        <o:r id="V:Rule9" type="connector" idref="#_x0000_s1052"/>
        <o:r id="V:Rule10" type="connector" idref="#_x0000_s1053"/>
        <o:r id="V:Rule11" type="connector" idref="#_x0000_s1056"/>
        <o:r id="V:Rule13" type="connector" idref="#_x0000_s1061"/>
        <o:r id="V:Rule14" type="connector" idref="#_x0000_s1063"/>
        <o:r id="V:Rule16" type="connector" idref="#_x0000_s1067"/>
        <o:r id="V:Rule17" type="connector" idref="#_x0000_s1069"/>
        <o:r id="V:Rule18" type="connector" idref="#_x0000_s1071"/>
        <o:r id="V:Rule19" type="connector" idref="#_x0000_s1073"/>
        <o:r id="V:Rule20" type="connector" idref="#_x0000_s1075"/>
        <o:r id="V:Rule22" type="connector" idref="#_x0000_s1076"/>
        <o:r id="V:Rule23" type="connector" idref="#_x0000_s1077"/>
      </o:rules>
      <o:regrouptable v:ext="edit">
        <o:entry new="1" old="0"/>
        <o:entry new="2" old="0"/>
        <o:entry new="3" old="0"/>
        <o:entry new="4" old="0"/>
        <o:entry new="5" old="0"/>
        <o:entry new="6" old="0"/>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97"/>
    <w:rPr>
      <w:lang w:val="es-S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5E47"/>
    <w:pPr>
      <w:ind w:left="720"/>
      <w:contextualSpacing/>
    </w:pPr>
  </w:style>
  <w:style w:type="paragraph" w:styleId="BalloonText">
    <w:name w:val="Balloon Text"/>
    <w:basedOn w:val="Normal"/>
    <w:link w:val="BalloonTextChar"/>
    <w:uiPriority w:val="99"/>
    <w:semiHidden/>
    <w:unhideWhenUsed/>
    <w:rsid w:val="008E6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2A8"/>
    <w:rPr>
      <w:rFonts w:ascii="Tahoma" w:hAnsi="Tahoma" w:cs="Tahoma"/>
      <w:sz w:val="16"/>
      <w:szCs w:val="16"/>
      <w:lang w:val="es-S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6</Words>
  <Characters>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nc6220</dc:creator>
  <cp:keywords/>
  <dc:description/>
  <cp:lastModifiedBy>nc6220</cp:lastModifiedBy>
  <cp:revision>4</cp:revision>
  <dcterms:created xsi:type="dcterms:W3CDTF">2013-08-30T03:06:00Z</dcterms:created>
  <dcterms:modified xsi:type="dcterms:W3CDTF">2013-08-30T05:38:00Z</dcterms:modified>
</cp:coreProperties>
</file>