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A68" w:rsidRPr="00A71FEE" w:rsidRDefault="00207A68" w:rsidP="00A71FEE">
      <w:pPr>
        <w:spacing w:line="360" w:lineRule="auto"/>
        <w:rPr>
          <w:rFonts w:ascii="Arial" w:hAnsi="Arial" w:cs="Arial"/>
          <w:sz w:val="24"/>
          <w:shd w:val="clear" w:color="auto" w:fill="FFFFFF"/>
        </w:rPr>
      </w:pPr>
    </w:p>
    <w:p w:rsidR="008A4587" w:rsidRPr="008A4587" w:rsidRDefault="008A4587" w:rsidP="008A4587">
      <w:pPr>
        <w:spacing w:line="360" w:lineRule="auto"/>
        <w:jc w:val="center"/>
        <w:rPr>
          <w:rFonts w:ascii="Arial" w:hAnsi="Arial" w:cs="Arial"/>
          <w:b/>
          <w:sz w:val="24"/>
          <w:u w:val="double"/>
          <w:shd w:val="clear" w:color="auto" w:fill="FFFFFF"/>
        </w:rPr>
      </w:pPr>
      <w:r w:rsidRPr="008A4587">
        <w:rPr>
          <w:rFonts w:ascii="Arial" w:hAnsi="Arial" w:cs="Arial"/>
          <w:b/>
          <w:sz w:val="24"/>
          <w:u w:val="double"/>
          <w:shd w:val="clear" w:color="auto" w:fill="FFFFFF"/>
        </w:rPr>
        <w:t>RESUMEN CODIGO TRIBUTARIO</w:t>
      </w:r>
    </w:p>
    <w:p w:rsidR="008A4587" w:rsidRDefault="008A4587" w:rsidP="00A71FEE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</w:p>
    <w:p w:rsidR="00207A68" w:rsidRPr="00A71FEE" w:rsidRDefault="008A4587" w:rsidP="00A71FEE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>
        <w:rPr>
          <w:rFonts w:ascii="Arial" w:hAnsi="Arial" w:cs="Arial"/>
          <w:sz w:val="24"/>
          <w:shd w:val="clear" w:color="auto" w:fill="FFFFFF"/>
        </w:rPr>
        <w:t xml:space="preserve">Según el código tributario se comprenderá Administración Tributaria como </w:t>
      </w:r>
      <w:r w:rsidR="00207A68" w:rsidRPr="00A71FEE">
        <w:rPr>
          <w:rFonts w:ascii="Arial" w:hAnsi="Arial" w:cs="Arial"/>
          <w:sz w:val="24"/>
          <w:shd w:val="clear" w:color="auto" w:fill="FFFFFF"/>
        </w:rPr>
        <w:t>el Ministerio de Hacienda, a través de las Direcciones respectivas, responsables de la administración y recaudación de impuestos.</w:t>
      </w:r>
      <w:r w:rsidR="00207A68" w:rsidRPr="00A71FEE">
        <w:rPr>
          <w:rFonts w:ascii="Arial" w:hAnsi="Arial" w:cs="Arial"/>
          <w:sz w:val="24"/>
        </w:rPr>
        <w:br/>
      </w:r>
      <w:r w:rsidR="00207A68" w:rsidRPr="00A71FEE">
        <w:rPr>
          <w:rFonts w:ascii="Arial" w:hAnsi="Arial" w:cs="Arial"/>
          <w:sz w:val="24"/>
        </w:rPr>
        <w:br/>
      </w:r>
      <w:r w:rsidR="00207A68" w:rsidRPr="00A71FEE">
        <w:rPr>
          <w:rFonts w:ascii="Arial" w:hAnsi="Arial" w:cs="Arial"/>
          <w:sz w:val="24"/>
          <w:shd w:val="clear" w:color="auto" w:fill="FFFFFF"/>
        </w:rPr>
        <w:t>Este código se r</w:t>
      </w:r>
      <w:r>
        <w:rPr>
          <w:rFonts w:ascii="Arial" w:hAnsi="Arial" w:cs="Arial"/>
          <w:sz w:val="24"/>
          <w:shd w:val="clear" w:color="auto" w:fill="FFFFFF"/>
        </w:rPr>
        <w:t xml:space="preserve">ige </w:t>
      </w:r>
      <w:r w:rsidR="00207A68" w:rsidRPr="00A71FEE">
        <w:rPr>
          <w:rFonts w:ascii="Arial" w:hAnsi="Arial" w:cs="Arial"/>
          <w:sz w:val="24"/>
          <w:shd w:val="clear" w:color="auto" w:fill="FFFFFF"/>
        </w:rPr>
        <w:t>por los siguientes principios Generales aplicables a las actuaciones de la Administración Tributaria los cuales son:</w:t>
      </w:r>
    </w:p>
    <w:p w:rsidR="00207A68" w:rsidRPr="00A71FEE" w:rsidRDefault="00207A68" w:rsidP="00A71FEE">
      <w:pPr>
        <w:spacing w:line="360" w:lineRule="auto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Justicia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Igualdad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Legalidad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Celeridad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Proporcionalidad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Economía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Eficacia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 xml:space="preserve"> Verdad Material.</w:t>
      </w:r>
    </w:p>
    <w:p w:rsidR="00A71FEE" w:rsidRDefault="00207A68" w:rsidP="00A71FEE">
      <w:pPr>
        <w:spacing w:line="360" w:lineRule="auto"/>
        <w:jc w:val="both"/>
        <w:rPr>
          <w:rFonts w:ascii="Arial" w:hAnsi="Arial" w:cs="Arial"/>
          <w:sz w:val="24"/>
        </w:rPr>
      </w:pPr>
      <w:r w:rsidRPr="00A71FEE">
        <w:rPr>
          <w:rFonts w:ascii="Arial" w:hAnsi="Arial" w:cs="Arial"/>
          <w:sz w:val="24"/>
        </w:rPr>
        <w:br/>
      </w:r>
      <w:r w:rsidR="00A71FEE" w:rsidRPr="00A71FEE">
        <w:rPr>
          <w:rFonts w:ascii="Arial" w:hAnsi="Arial" w:cs="Arial"/>
          <w:sz w:val="24"/>
        </w:rPr>
        <w:t>Están obligados a presentar las declaraciones tributarias dentro del plazo estipulado</w:t>
      </w:r>
      <w:r w:rsidR="00A71FEE">
        <w:rPr>
          <w:rFonts w:ascii="Arial" w:hAnsi="Arial" w:cs="Arial"/>
          <w:sz w:val="24"/>
        </w:rPr>
        <w:t xml:space="preserve"> </w:t>
      </w:r>
      <w:r w:rsidR="00A71FEE" w:rsidRPr="00A71FEE">
        <w:rPr>
          <w:rFonts w:ascii="Arial" w:hAnsi="Arial" w:cs="Arial"/>
          <w:sz w:val="24"/>
        </w:rPr>
        <w:t>para tal efecto, los sujetos pasivos de los impuestos bajo la potestad de la Administración Tributaria, sea</w:t>
      </w:r>
      <w:r w:rsidR="00A71FEE">
        <w:rPr>
          <w:rFonts w:ascii="Arial" w:hAnsi="Arial" w:cs="Arial"/>
          <w:sz w:val="24"/>
        </w:rPr>
        <w:t xml:space="preserve"> </w:t>
      </w:r>
      <w:r w:rsidR="00A71FEE" w:rsidRPr="00A71FEE">
        <w:rPr>
          <w:rFonts w:ascii="Arial" w:hAnsi="Arial" w:cs="Arial"/>
          <w:sz w:val="24"/>
        </w:rPr>
        <w:t>en calidad de contribuyentes o de responsables, aún cuando ella no dé lugar al pago del impuesto, de</w:t>
      </w:r>
      <w:r w:rsidR="00A71FEE">
        <w:rPr>
          <w:rFonts w:ascii="Arial" w:hAnsi="Arial" w:cs="Arial"/>
          <w:sz w:val="24"/>
        </w:rPr>
        <w:t xml:space="preserve"> </w:t>
      </w:r>
      <w:r w:rsidR="00A71FEE" w:rsidRPr="00A71FEE">
        <w:rPr>
          <w:rFonts w:ascii="Arial" w:hAnsi="Arial" w:cs="Arial"/>
          <w:sz w:val="24"/>
        </w:rPr>
        <w:t>acuerdo a lo previsto en las leyes correspondientes, salvo en los casos expresamente señalados por</w:t>
      </w:r>
      <w:r w:rsidR="00A71FEE">
        <w:rPr>
          <w:rFonts w:ascii="Arial" w:hAnsi="Arial" w:cs="Arial"/>
          <w:sz w:val="24"/>
        </w:rPr>
        <w:t xml:space="preserve"> </w:t>
      </w:r>
      <w:r w:rsidR="00A71FEE" w:rsidRPr="00A71FEE">
        <w:rPr>
          <w:rFonts w:ascii="Arial" w:hAnsi="Arial" w:cs="Arial"/>
          <w:sz w:val="24"/>
        </w:rPr>
        <w:t>las leyes tributarias respectivas.</w:t>
      </w:r>
    </w:p>
    <w:p w:rsidR="008A4587" w:rsidRDefault="008A4587" w:rsidP="00A71FEE">
      <w:pPr>
        <w:spacing w:line="360" w:lineRule="auto"/>
        <w:jc w:val="both"/>
        <w:rPr>
          <w:rFonts w:ascii="Arial" w:hAnsi="Arial" w:cs="Arial"/>
          <w:sz w:val="24"/>
        </w:rPr>
      </w:pPr>
    </w:p>
    <w:p w:rsidR="008A4587" w:rsidRDefault="008A4587" w:rsidP="00A71FEE">
      <w:pPr>
        <w:spacing w:line="360" w:lineRule="auto"/>
        <w:jc w:val="both"/>
        <w:rPr>
          <w:rFonts w:ascii="Arial" w:hAnsi="Arial" w:cs="Arial"/>
          <w:sz w:val="24"/>
        </w:rPr>
      </w:pPr>
    </w:p>
    <w:p w:rsidR="008A4587" w:rsidRPr="008A4587" w:rsidRDefault="00207A68" w:rsidP="00A71FEE">
      <w:pPr>
        <w:spacing w:line="360" w:lineRule="auto"/>
        <w:jc w:val="both"/>
        <w:rPr>
          <w:rStyle w:val="apple-converted-space"/>
          <w:rFonts w:ascii="Arial" w:hAnsi="Arial" w:cs="Arial"/>
          <w:b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</w:rPr>
        <w:lastRenderedPageBreak/>
        <w:br/>
      </w:r>
      <w:r w:rsidRPr="008A4587">
        <w:rPr>
          <w:rFonts w:ascii="Arial" w:hAnsi="Arial" w:cs="Arial"/>
          <w:b/>
          <w:sz w:val="24"/>
          <w:shd w:val="clear" w:color="auto" w:fill="FFFFFF"/>
        </w:rPr>
        <w:t xml:space="preserve">El Código Tributario define derechos </w:t>
      </w:r>
      <w:r w:rsidR="008A4587" w:rsidRPr="008A4587">
        <w:rPr>
          <w:rFonts w:ascii="Arial" w:hAnsi="Arial" w:cs="Arial"/>
          <w:b/>
          <w:sz w:val="24"/>
          <w:shd w:val="clear" w:color="auto" w:fill="FFFFFF"/>
        </w:rPr>
        <w:t xml:space="preserve">de </w:t>
      </w:r>
      <w:r w:rsidRPr="008A4587">
        <w:rPr>
          <w:rFonts w:ascii="Arial" w:hAnsi="Arial" w:cs="Arial"/>
          <w:b/>
          <w:sz w:val="24"/>
          <w:shd w:val="clear" w:color="auto" w:fill="FFFFFF"/>
        </w:rPr>
        <w:t>los administrados por Administración Tributaria poseen los siguientes derechos:</w:t>
      </w:r>
      <w:r w:rsidRPr="008A4587">
        <w:rPr>
          <w:rStyle w:val="apple-converted-space"/>
          <w:rFonts w:ascii="Arial" w:hAnsi="Arial" w:cs="Arial"/>
          <w:b/>
          <w:sz w:val="24"/>
          <w:shd w:val="clear" w:color="auto" w:fill="FFFFFF"/>
        </w:rPr>
        <w:t> </w:t>
      </w:r>
    </w:p>
    <w:p w:rsidR="00A71FEE" w:rsidRDefault="00207A68" w:rsidP="00A71FEE">
      <w:pPr>
        <w:spacing w:line="360" w:lineRule="auto"/>
        <w:jc w:val="both"/>
        <w:rPr>
          <w:rStyle w:val="apple-converted-space"/>
          <w:rFonts w:ascii="Arial" w:hAnsi="Arial" w:cs="Arial"/>
          <w:sz w:val="24"/>
        </w:rPr>
      </w:pP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a) De petición, que lleva implícito el derecho a que se haga saber por escrito a los administrados la respuesta de las peticiones que presenten;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b) De contradicción,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</w:p>
    <w:p w:rsidR="00A71FEE" w:rsidRDefault="00207A68" w:rsidP="00A71FEE">
      <w:pPr>
        <w:spacing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c) De acceso al expediente administrativo, por sí o por medio de representante o apoderado debidamente acreditado.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b/>
          <w:sz w:val="24"/>
          <w:shd w:val="clear" w:color="auto" w:fill="FFFFFF"/>
        </w:rPr>
        <w:t>Las formas de extinción de la obligación tributaria sustantiva son las siguientes: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a) Pago</w:t>
      </w:r>
      <w:r w:rsidR="00A71FEE">
        <w:rPr>
          <w:rFonts w:ascii="Arial" w:hAnsi="Arial" w:cs="Arial"/>
          <w:sz w:val="24"/>
          <w:shd w:val="clear" w:color="auto" w:fill="FFFFFF"/>
        </w:rPr>
        <w:t>.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b) Compensación</w:t>
      </w:r>
      <w:r w:rsidR="00A71FEE">
        <w:rPr>
          <w:rFonts w:ascii="Arial" w:hAnsi="Arial" w:cs="Arial"/>
          <w:sz w:val="24"/>
          <w:shd w:val="clear" w:color="auto" w:fill="FFFFFF"/>
        </w:rPr>
        <w:t>.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  <w:shd w:val="clear" w:color="auto" w:fill="FFFFFF"/>
        </w:rPr>
        <w:t>c) Confusión; y</w:t>
      </w:r>
    </w:p>
    <w:p w:rsidR="00A71FEE" w:rsidRDefault="00207A68" w:rsidP="00A71FEE">
      <w:pPr>
        <w:spacing w:after="0" w:line="360" w:lineRule="auto"/>
        <w:jc w:val="both"/>
        <w:rPr>
          <w:rStyle w:val="apple-converted-space"/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d) Prescripción.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</w:p>
    <w:p w:rsidR="00A71FEE" w:rsidRDefault="00207A68" w:rsidP="00A71FEE">
      <w:pPr>
        <w:spacing w:after="0" w:line="360" w:lineRule="auto"/>
        <w:jc w:val="both"/>
        <w:rPr>
          <w:rStyle w:val="apple-converted-space"/>
          <w:rFonts w:ascii="Arial" w:hAnsi="Arial" w:cs="Arial"/>
          <w:b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b/>
          <w:sz w:val="24"/>
          <w:shd w:val="clear" w:color="auto" w:fill="FFFFFF"/>
        </w:rPr>
        <w:t>Los deberes y obligaciones tributarias de los sujetos pasivos, contribuyentes o responsables, según el CT son:</w:t>
      </w:r>
      <w:r w:rsidRPr="00A71FEE">
        <w:rPr>
          <w:rStyle w:val="apple-converted-space"/>
          <w:rFonts w:ascii="Arial" w:hAnsi="Arial" w:cs="Arial"/>
          <w:b/>
          <w:sz w:val="24"/>
          <w:shd w:val="clear" w:color="auto" w:fill="FFFFFF"/>
        </w:rPr>
        <w:t> </w:t>
      </w:r>
    </w:p>
    <w:p w:rsidR="00A71FEE" w:rsidRPr="00A71FEE" w:rsidRDefault="00207A68" w:rsidP="00A71FEE">
      <w:pPr>
        <w:spacing w:after="0" w:line="360" w:lineRule="auto"/>
        <w:jc w:val="both"/>
        <w:rPr>
          <w:rFonts w:ascii="Arial" w:hAnsi="Arial" w:cs="Arial"/>
          <w:b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Obligación de inscribirse en el Registro de Contribuyentes e informar.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Obligación de presentar declaración</w:t>
      </w:r>
      <w:r w:rsidR="00A71FEE" w:rsidRPr="00A71FEE">
        <w:rPr>
          <w:rFonts w:ascii="Arial" w:hAnsi="Arial" w:cs="Arial"/>
          <w:sz w:val="24"/>
          <w:shd w:val="clear" w:color="auto" w:fill="FFFFFF"/>
        </w:rPr>
        <w:t>.</w:t>
      </w:r>
    </w:p>
    <w:p w:rsidR="00A71FEE" w:rsidRPr="00A71FEE" w:rsidRDefault="00207A68" w:rsidP="00A71FEE">
      <w:pPr>
        <w:spacing w:after="0" w:line="360" w:lineRule="auto"/>
        <w:jc w:val="both"/>
        <w:rPr>
          <w:rStyle w:val="apple-converted-space"/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Obligación de declarar para los sujetos excluidos del pago del Impuesto Sobre la Renta.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Emisión de Comprobantes de Crédito Fiscal y Otros Documentos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Obligación de expedir Comprobante de Retención.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</w:p>
    <w:p w:rsidR="00A71FEE" w:rsidRPr="00A71FEE" w:rsidRDefault="00207A68" w:rsidP="00A71FEE">
      <w:pPr>
        <w:spacing w:after="0" w:line="360" w:lineRule="auto"/>
        <w:jc w:val="both"/>
        <w:rPr>
          <w:rStyle w:val="apple-converted-space"/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Obligación de exigir y retirar Documentos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</w:p>
    <w:p w:rsidR="00A71FEE" w:rsidRDefault="00207A68" w:rsidP="00A71FEE">
      <w:pPr>
        <w:spacing w:after="0" w:line="360" w:lineRule="auto"/>
        <w:jc w:val="both"/>
        <w:rPr>
          <w:rStyle w:val="apple-converted-space"/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Obligación de consignar datos en los documentos recibidos de sujetos excluidos de la calidad de contribuyentes.</w:t>
      </w: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t> 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Obligación De Informar Y Permitir El Control</w:t>
      </w:r>
      <w:r w:rsidR="00A71FEE">
        <w:rPr>
          <w:rFonts w:ascii="Arial" w:hAnsi="Arial" w:cs="Arial"/>
          <w:sz w:val="24"/>
          <w:shd w:val="clear" w:color="auto" w:fill="FFFFFF"/>
        </w:rPr>
        <w:t>.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Style w:val="apple-converted-space"/>
          <w:rFonts w:ascii="Arial" w:hAnsi="Arial" w:cs="Arial"/>
          <w:sz w:val="24"/>
          <w:shd w:val="clear" w:color="auto" w:fill="FFFFFF"/>
        </w:rPr>
        <w:lastRenderedPageBreak/>
        <w:t> 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b/>
          <w:sz w:val="24"/>
          <w:shd w:val="clear" w:color="auto" w:fill="FFFFFF"/>
        </w:rPr>
        <w:t>Los documentos exigidos por el Código Tributario son los siguientes:</w:t>
      </w:r>
      <w:r w:rsidRPr="00A71FEE">
        <w:rPr>
          <w:rFonts w:ascii="Arial" w:hAnsi="Arial" w:cs="Arial"/>
          <w:b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Comprobante de crédito fiscal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Factura</w:t>
      </w:r>
      <w:r w:rsidRPr="00A71FEE">
        <w:rPr>
          <w:rFonts w:ascii="Arial" w:hAnsi="Arial" w:cs="Arial"/>
          <w:sz w:val="24"/>
        </w:rPr>
        <w:br/>
      </w:r>
      <w:r w:rsidRPr="00A71FEE">
        <w:rPr>
          <w:rFonts w:ascii="Arial" w:hAnsi="Arial" w:cs="Arial"/>
          <w:sz w:val="24"/>
          <w:shd w:val="clear" w:color="auto" w:fill="FFFFFF"/>
        </w:rPr>
        <w:t>Factura de venta simplificada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Comprobante de liquidación</w:t>
      </w:r>
    </w:p>
    <w:p w:rsidR="00A71FEE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Nota de remisión</w:t>
      </w:r>
    </w:p>
    <w:p w:rsidR="00D50EB7" w:rsidRDefault="00207A68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Notas de debito y crédito</w:t>
      </w:r>
    </w:p>
    <w:p w:rsidR="00A71FEE" w:rsidRDefault="00A71FEE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</w:p>
    <w:p w:rsidR="00A71FEE" w:rsidRDefault="00A71FEE" w:rsidP="00A71FEE">
      <w:pPr>
        <w:spacing w:after="0" w:line="360" w:lineRule="auto"/>
        <w:jc w:val="both"/>
        <w:rPr>
          <w:rFonts w:ascii="Arial" w:hAnsi="Arial" w:cs="Arial"/>
          <w:b/>
          <w:sz w:val="24"/>
          <w:shd w:val="clear" w:color="auto" w:fill="FFFFFF"/>
        </w:rPr>
      </w:pPr>
      <w:r w:rsidRPr="00A71FEE">
        <w:rPr>
          <w:rFonts w:ascii="Arial" w:hAnsi="Arial" w:cs="Arial"/>
          <w:b/>
          <w:sz w:val="24"/>
          <w:shd w:val="clear" w:color="auto" w:fill="FFFFFF"/>
        </w:rPr>
        <w:t>Estímulos a Exigir la Facturación</w:t>
      </w:r>
      <w:r w:rsidRPr="00A71FEE">
        <w:rPr>
          <w:rFonts w:ascii="Arial" w:hAnsi="Arial" w:cs="Arial"/>
          <w:b/>
          <w:sz w:val="24"/>
          <w:shd w:val="clear" w:color="auto" w:fill="FFFFFF"/>
        </w:rPr>
        <w:cr/>
      </w:r>
      <w:r w:rsidRPr="00A71FEE"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La Administración Tributaria podrá establecer premios mediante rifas, sorteos o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concursos en los cuales participen aquellos consumidores finales adquirentes de bienes y servicios que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remitan facturas o documentos equivalentes autorizados por la Administración Tributaria, que respalden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las compras realizadas por estos, con el propósito de garantizar el cumplimiento de la obligación relacionada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con la emisión de los documentos exigidos por este Código por parte de los contribuyentes del Impuesto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a la Transferencia de Bienes Muebles y a la Prestación de Servicios.</w:t>
      </w:r>
      <w:r w:rsidRPr="00A71FEE">
        <w:rPr>
          <w:rFonts w:ascii="Arial" w:hAnsi="Arial" w:cs="Arial"/>
          <w:b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b/>
          <w:sz w:val="24"/>
          <w:shd w:val="clear" w:color="auto" w:fill="FFFFFF"/>
        </w:rPr>
        <w:cr/>
      </w:r>
    </w:p>
    <w:p w:rsidR="00A71FEE" w:rsidRPr="00A71FEE" w:rsidRDefault="00A71FEE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b/>
          <w:sz w:val="24"/>
          <w:shd w:val="clear" w:color="auto" w:fill="FFFFFF"/>
        </w:rPr>
        <w:t>Informe sobre Accionistas y Utilidades</w:t>
      </w:r>
      <w:r w:rsidRPr="00A71FEE">
        <w:rPr>
          <w:rFonts w:ascii="Arial" w:hAnsi="Arial" w:cs="Arial"/>
          <w:b/>
          <w:sz w:val="24"/>
          <w:shd w:val="clear" w:color="auto" w:fill="FFFFFF"/>
        </w:rPr>
        <w:cr/>
      </w:r>
      <w:r w:rsidRPr="00A71FEE"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Las personas jurídicas que distribuyan dividendos, excedentes o utilidades, deberán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informar en el formulario respectivo, a la Administración Tributaria dentro del mes de enero, todas las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distribuciones efectuadas en el año inmediato anterior, debiendo proporcionar el valor de las acciones,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aportes o derechos, al igual que el valor de los dividendos, excedentes o utilidades de cualquier tipo o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denominación que hayan sido distribuidas.</w:t>
      </w:r>
    </w:p>
    <w:p w:rsidR="00A71FEE" w:rsidRDefault="00A71FEE" w:rsidP="00A71FEE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A71FEE">
        <w:rPr>
          <w:rFonts w:ascii="Arial" w:hAnsi="Arial" w:cs="Arial"/>
          <w:sz w:val="24"/>
          <w:shd w:val="clear" w:color="auto" w:fill="FFFFFF"/>
        </w:rPr>
        <w:t>Asimismo, tendrán la obligación de remitir en el mismo plazo, el listado de las personas que tengan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>la calidad de socio, accionista o cooperado de la respectiva persona jurídica, se les haya o no efectuado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A71FEE">
        <w:rPr>
          <w:rFonts w:ascii="Arial" w:hAnsi="Arial" w:cs="Arial"/>
          <w:sz w:val="24"/>
          <w:shd w:val="clear" w:color="auto" w:fill="FFFFFF"/>
        </w:rPr>
        <w:t xml:space="preserve">distribución de dividendos, excedentes o utilidades. </w:t>
      </w:r>
      <w:r w:rsidRPr="00A71FEE">
        <w:rPr>
          <w:rFonts w:ascii="Arial" w:hAnsi="Arial" w:cs="Arial"/>
          <w:sz w:val="24"/>
          <w:shd w:val="clear" w:color="auto" w:fill="FFFFFF"/>
        </w:rPr>
        <w:cr/>
      </w:r>
    </w:p>
    <w:p w:rsidR="008A4587" w:rsidRDefault="008A4587" w:rsidP="008A4587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</w:p>
    <w:p w:rsidR="008A4587" w:rsidRPr="008A4587" w:rsidRDefault="008A4587" w:rsidP="008A4587">
      <w:pPr>
        <w:spacing w:after="0" w:line="360" w:lineRule="auto"/>
        <w:jc w:val="both"/>
        <w:rPr>
          <w:rFonts w:ascii="Arial" w:hAnsi="Arial" w:cs="Arial"/>
          <w:b/>
          <w:sz w:val="24"/>
          <w:shd w:val="clear" w:color="auto" w:fill="FFFFFF"/>
        </w:rPr>
      </w:pPr>
      <w:r w:rsidRPr="008A4587">
        <w:rPr>
          <w:rFonts w:ascii="Arial" w:hAnsi="Arial" w:cs="Arial"/>
          <w:b/>
          <w:sz w:val="24"/>
          <w:shd w:val="clear" w:color="auto" w:fill="FFFFFF"/>
        </w:rPr>
        <w:t xml:space="preserve">Para el código tributario se entenderá como sujetos relacionados: 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a) cuando uno de ellos dirija o contr</w:t>
      </w:r>
      <w:r>
        <w:rPr>
          <w:rFonts w:ascii="Arial" w:hAnsi="Arial" w:cs="Arial"/>
          <w:sz w:val="24"/>
          <w:shd w:val="clear" w:color="auto" w:fill="FFFFFF"/>
        </w:rPr>
        <w:t xml:space="preserve">ole la otra, o posea, directa o </w:t>
      </w:r>
      <w:r w:rsidRPr="008A4587">
        <w:rPr>
          <w:rFonts w:ascii="Arial" w:hAnsi="Arial" w:cs="Arial"/>
          <w:sz w:val="24"/>
          <w:shd w:val="clear" w:color="auto" w:fill="FFFFFF"/>
        </w:rPr>
        <w:t>indirectamente, al menos el 25% de su capi</w:t>
      </w:r>
      <w:r>
        <w:rPr>
          <w:rFonts w:ascii="Arial" w:hAnsi="Arial" w:cs="Arial"/>
          <w:sz w:val="24"/>
          <w:shd w:val="clear" w:color="auto" w:fill="FFFFFF"/>
        </w:rPr>
        <w:t>tal social o de sus derechos de voto.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B) cuando cinco o menos personas dirijan o controlen ambas personas, o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8A4587">
        <w:rPr>
          <w:rFonts w:ascii="Arial" w:hAnsi="Arial" w:cs="Arial"/>
          <w:sz w:val="24"/>
          <w:shd w:val="clear" w:color="auto" w:fill="FFFFFF"/>
        </w:rPr>
        <w:t>posean en su conjunto, directa o ind</w:t>
      </w:r>
      <w:r>
        <w:rPr>
          <w:rFonts w:ascii="Arial" w:hAnsi="Arial" w:cs="Arial"/>
          <w:sz w:val="24"/>
          <w:shd w:val="clear" w:color="auto" w:fill="FFFFFF"/>
        </w:rPr>
        <w:t xml:space="preserve">irectamente, al menos el 25% de </w:t>
      </w:r>
      <w:r w:rsidRPr="008A4587">
        <w:rPr>
          <w:rFonts w:ascii="Arial" w:hAnsi="Arial" w:cs="Arial"/>
          <w:sz w:val="24"/>
          <w:shd w:val="clear" w:color="auto" w:fill="FFFFFF"/>
        </w:rPr>
        <w:t xml:space="preserve">participación en el capital social </w:t>
      </w:r>
      <w:r>
        <w:rPr>
          <w:rFonts w:ascii="Arial" w:hAnsi="Arial" w:cs="Arial"/>
          <w:sz w:val="24"/>
          <w:shd w:val="clear" w:color="auto" w:fill="FFFFFF"/>
        </w:rPr>
        <w:t xml:space="preserve">o los derechos de voto de ambas </w:t>
      </w:r>
      <w:r w:rsidRPr="008A4587">
        <w:rPr>
          <w:rFonts w:ascii="Arial" w:hAnsi="Arial" w:cs="Arial"/>
          <w:sz w:val="24"/>
          <w:shd w:val="clear" w:color="auto" w:fill="FFFFFF"/>
        </w:rPr>
        <w:t>personas;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C) cuando sean sociedades que pertenezcan a una misma unidad de decisión</w:t>
      </w:r>
      <w:r>
        <w:rPr>
          <w:rFonts w:ascii="Arial" w:hAnsi="Arial" w:cs="Arial"/>
          <w:sz w:val="24"/>
          <w:shd w:val="clear" w:color="auto" w:fill="FFFFFF"/>
        </w:rPr>
        <w:t xml:space="preserve"> </w:t>
      </w:r>
      <w:r w:rsidRPr="008A4587">
        <w:rPr>
          <w:rFonts w:ascii="Arial" w:hAnsi="Arial" w:cs="Arial"/>
          <w:sz w:val="24"/>
          <w:shd w:val="clear" w:color="auto" w:fill="FFFFFF"/>
        </w:rPr>
        <w:t>o grupo empresarial.</w:t>
      </w:r>
    </w:p>
    <w:p w:rsidR="008A4587" w:rsidRPr="008A4587" w:rsidRDefault="008A4587" w:rsidP="008A4587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En particular, dos sociedades forman parte</w:t>
      </w:r>
      <w:r>
        <w:rPr>
          <w:rFonts w:ascii="Arial" w:hAnsi="Arial" w:cs="Arial"/>
          <w:sz w:val="24"/>
          <w:shd w:val="clear" w:color="auto" w:fill="FFFFFF"/>
        </w:rPr>
        <w:t xml:space="preserve"> de la misma unidad de decisión </w:t>
      </w:r>
      <w:r w:rsidRPr="008A4587">
        <w:rPr>
          <w:rFonts w:ascii="Arial" w:hAnsi="Arial" w:cs="Arial"/>
          <w:sz w:val="24"/>
          <w:shd w:val="clear" w:color="auto" w:fill="FFFFFF"/>
        </w:rPr>
        <w:t xml:space="preserve">o grupo empresarial </w:t>
      </w:r>
      <w:r w:rsidRPr="008A4587">
        <w:rPr>
          <w:rFonts w:ascii="Arial" w:hAnsi="Arial" w:cs="Arial"/>
          <w:b/>
          <w:sz w:val="24"/>
          <w:shd w:val="clear" w:color="auto" w:fill="FFFFFF"/>
        </w:rPr>
        <w:t>si una de ellas es socio o partícipe de la otra y se encuentra en relación con ésta en alguna de las siguientes situaciones: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I) posea la mayoría de los derechos de voto.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proofErr w:type="spellStart"/>
      <w:r w:rsidRPr="008A4587">
        <w:rPr>
          <w:rFonts w:ascii="Arial" w:hAnsi="Arial" w:cs="Arial"/>
          <w:sz w:val="24"/>
          <w:shd w:val="clear" w:color="auto" w:fill="FFFFFF"/>
        </w:rPr>
        <w:t>Ii</w:t>
      </w:r>
      <w:proofErr w:type="spellEnd"/>
      <w:r w:rsidRPr="008A4587">
        <w:rPr>
          <w:rFonts w:ascii="Arial" w:hAnsi="Arial" w:cs="Arial"/>
          <w:sz w:val="24"/>
          <w:shd w:val="clear" w:color="auto" w:fill="FFFFFF"/>
        </w:rPr>
        <w:t xml:space="preserve">) tenga la facultad de nombrar o destituir a la mayoría de los 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Miembros del órgano de administración.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proofErr w:type="spellStart"/>
      <w:r w:rsidRPr="008A4587">
        <w:rPr>
          <w:rFonts w:ascii="Arial" w:hAnsi="Arial" w:cs="Arial"/>
          <w:sz w:val="24"/>
          <w:shd w:val="clear" w:color="auto" w:fill="FFFFFF"/>
        </w:rPr>
        <w:t>Iii</w:t>
      </w:r>
      <w:proofErr w:type="spellEnd"/>
      <w:r w:rsidRPr="008A4587">
        <w:rPr>
          <w:rFonts w:ascii="Arial" w:hAnsi="Arial" w:cs="Arial"/>
          <w:sz w:val="24"/>
          <w:shd w:val="clear" w:color="auto" w:fill="FFFFFF"/>
        </w:rPr>
        <w:t xml:space="preserve">) pueda disponer, en virtud de acuerdos celebrados con otros socios, 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De la mayoría de los derechos de voto.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proofErr w:type="spellStart"/>
      <w:r w:rsidRPr="008A4587">
        <w:rPr>
          <w:rFonts w:ascii="Arial" w:hAnsi="Arial" w:cs="Arial"/>
          <w:sz w:val="24"/>
          <w:shd w:val="clear" w:color="auto" w:fill="FFFFFF"/>
        </w:rPr>
        <w:t>Iv</w:t>
      </w:r>
      <w:proofErr w:type="spellEnd"/>
      <w:r w:rsidRPr="008A4587">
        <w:rPr>
          <w:rFonts w:ascii="Arial" w:hAnsi="Arial" w:cs="Arial"/>
          <w:sz w:val="24"/>
          <w:shd w:val="clear" w:color="auto" w:fill="FFFFFF"/>
        </w:rPr>
        <w:t>) haya designado exclusivamente con sus votos a la mayoría de los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Miembros del órgano de administración.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 xml:space="preserve">V) la mayoría de los miembros del órgano de administración de la </w:t>
      </w:r>
    </w:p>
    <w:p w:rsidR="008A4587" w:rsidRPr="008A4587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>Sociedad dominada sean miembros o gerentes del órgano de</w:t>
      </w:r>
    </w:p>
    <w:p w:rsidR="008A4587" w:rsidRPr="00A71FEE" w:rsidRDefault="008A4587" w:rsidP="008A4587">
      <w:pPr>
        <w:spacing w:after="0" w:line="360" w:lineRule="auto"/>
        <w:ind w:left="708"/>
        <w:jc w:val="both"/>
        <w:rPr>
          <w:rFonts w:ascii="Arial" w:hAnsi="Arial" w:cs="Arial"/>
          <w:sz w:val="24"/>
          <w:shd w:val="clear" w:color="auto" w:fill="FFFFFF"/>
        </w:rPr>
      </w:pPr>
      <w:r w:rsidRPr="008A4587">
        <w:rPr>
          <w:rFonts w:ascii="Arial" w:hAnsi="Arial" w:cs="Arial"/>
          <w:sz w:val="24"/>
          <w:shd w:val="clear" w:color="auto" w:fill="FFFFFF"/>
        </w:rPr>
        <w:t xml:space="preserve">Administración de la sociedad dominante </w:t>
      </w:r>
    </w:p>
    <w:p w:rsidR="008A4587" w:rsidRPr="00A71FEE" w:rsidRDefault="008A4587" w:rsidP="008A4587">
      <w:pPr>
        <w:spacing w:after="0" w:line="360" w:lineRule="auto"/>
        <w:jc w:val="both"/>
        <w:rPr>
          <w:rFonts w:ascii="Arial" w:hAnsi="Arial" w:cs="Arial"/>
          <w:sz w:val="24"/>
          <w:shd w:val="clear" w:color="auto" w:fill="FFFFFF"/>
        </w:rPr>
      </w:pPr>
    </w:p>
    <w:sectPr w:rsidR="008A4587" w:rsidRPr="00A71FEE" w:rsidSect="00D50EB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3779"/>
    <w:multiLevelType w:val="hybridMultilevel"/>
    <w:tmpl w:val="B4C0D8D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E7623B"/>
    <w:multiLevelType w:val="hybridMultilevel"/>
    <w:tmpl w:val="56DA7AC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54A02"/>
    <w:multiLevelType w:val="hybridMultilevel"/>
    <w:tmpl w:val="ED88368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405643"/>
    <w:multiLevelType w:val="hybridMultilevel"/>
    <w:tmpl w:val="40D204C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07A68"/>
    <w:rsid w:val="00207A68"/>
    <w:rsid w:val="008A4587"/>
    <w:rsid w:val="009E5575"/>
    <w:rsid w:val="00A71FEE"/>
    <w:rsid w:val="00D50EB7"/>
    <w:rsid w:val="00DE7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E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207A68"/>
  </w:style>
  <w:style w:type="paragraph" w:styleId="Prrafodelista">
    <w:name w:val="List Paragraph"/>
    <w:basedOn w:val="Normal"/>
    <w:uiPriority w:val="34"/>
    <w:qFormat/>
    <w:rsid w:val="00207A68"/>
    <w:pPr>
      <w:ind w:left="720"/>
      <w:contextualSpacing/>
    </w:pPr>
  </w:style>
  <w:style w:type="table" w:styleId="Tablaconcuadrcula">
    <w:name w:val="Table Grid"/>
    <w:basedOn w:val="Tablanormal"/>
    <w:uiPriority w:val="59"/>
    <w:rsid w:val="00207A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Kenia</dc:creator>
  <cp:lastModifiedBy>Kenia</cp:lastModifiedBy>
  <cp:revision>2</cp:revision>
  <dcterms:created xsi:type="dcterms:W3CDTF">2013-10-12T05:00:00Z</dcterms:created>
  <dcterms:modified xsi:type="dcterms:W3CDTF">2013-10-12T05:00:00Z</dcterms:modified>
</cp:coreProperties>
</file>