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B40" w:rsidRPr="008A3478" w:rsidRDefault="008A3478" w:rsidP="008A3478">
      <w:pPr>
        <w:jc w:val="center"/>
        <w:rPr>
          <w:rFonts w:ascii="Times New Roman" w:hAnsi="Times New Roman" w:cs="Times New Roman"/>
          <w:sz w:val="44"/>
          <w:lang w:val="es-ES_tradnl"/>
        </w:rPr>
      </w:pPr>
      <w:r w:rsidRPr="008A3478">
        <w:rPr>
          <w:rFonts w:ascii="Times New Roman" w:hAnsi="Times New Roman" w:cs="Times New Roman"/>
          <w:sz w:val="44"/>
          <w:lang w:val="es-ES_tradnl"/>
        </w:rPr>
        <w:t>PRECIOS DE TRANSFERENCIA</w:t>
      </w:r>
    </w:p>
    <w:p w:rsidR="008A3478" w:rsidRDefault="008A3478">
      <w:pPr>
        <w:rPr>
          <w:rFonts w:ascii="Times New Roman" w:hAnsi="Times New Roman" w:cs="Times New Roman"/>
          <w:b/>
          <w:lang w:val="es-ES_tradnl"/>
        </w:rPr>
      </w:pPr>
      <w:r w:rsidRPr="008A3478">
        <w:rPr>
          <w:rFonts w:ascii="Times New Roman" w:hAnsi="Times New Roman" w:cs="Times New Roman"/>
          <w:b/>
          <w:lang w:val="es-ES_tradnl"/>
        </w:rPr>
        <w:t>Definición:</w:t>
      </w:r>
    </w:p>
    <w:p w:rsidR="008A3478" w:rsidRDefault="008A3478" w:rsidP="008A3478">
      <w:pPr>
        <w:jc w:val="both"/>
        <w:rPr>
          <w:rFonts w:ascii="Times New Roman" w:hAnsi="Times New Roman" w:cs="Times New Roman"/>
          <w:i/>
          <w:lang w:val="es-ES_tradnl"/>
        </w:rPr>
      </w:pPr>
      <w:r w:rsidRPr="008A3478">
        <w:rPr>
          <w:rFonts w:ascii="Times New Roman" w:hAnsi="Times New Roman" w:cs="Times New Roman"/>
          <w:i/>
          <w:lang w:val="es-ES_tradnl"/>
        </w:rPr>
        <w:t xml:space="preserve">“El  precio  pactado  en  la  transferencia  de  bienes  tangibles  o intangibles,  prestación  de  servicios,  o  cualquier  otra  operación realizada entre entidades o sujetos </w:t>
      </w:r>
      <w:r w:rsidRPr="008A3478">
        <w:rPr>
          <w:rFonts w:ascii="Times New Roman" w:hAnsi="Times New Roman" w:cs="Times New Roman"/>
          <w:b/>
          <w:i/>
          <w:lang w:val="es-ES_tradnl"/>
        </w:rPr>
        <w:t>relacionados</w:t>
      </w:r>
      <w:r w:rsidRPr="008A3478">
        <w:rPr>
          <w:rFonts w:ascii="Times New Roman" w:hAnsi="Times New Roman" w:cs="Times New Roman"/>
          <w:i/>
          <w:lang w:val="es-ES_tradnl"/>
        </w:rPr>
        <w:t>” .</w:t>
      </w:r>
    </w:p>
    <w:p w:rsidR="008A3478" w:rsidRDefault="008A3478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Toda operación que se de entre entidades o sujetos relacionados debe estar basada en el principio de libre competencia, el cual establece que </w:t>
      </w:r>
      <w:r w:rsidRPr="008A3478">
        <w:rPr>
          <w:rFonts w:ascii="Times New Roman" w:hAnsi="Times New Roman" w:cs="Times New Roman"/>
          <w:lang w:val="es-ES_tradnl"/>
        </w:rPr>
        <w:t>“el  precio,  la  utilidad  o  beneficio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8A3478">
        <w:rPr>
          <w:rFonts w:ascii="Times New Roman" w:hAnsi="Times New Roman" w:cs="Times New Roman"/>
          <w:lang w:val="es-ES_tradnl"/>
        </w:rPr>
        <w:t>que  se  obtenga  en  una  transacción  entre  entidades  o  sujetos</w:t>
      </w:r>
      <w:r>
        <w:rPr>
          <w:rFonts w:ascii="Times New Roman" w:hAnsi="Times New Roman" w:cs="Times New Roman"/>
          <w:lang w:val="es-ES_tradnl"/>
        </w:rPr>
        <w:t xml:space="preserve">  </w:t>
      </w:r>
      <w:r w:rsidRPr="008A3478">
        <w:rPr>
          <w:rFonts w:ascii="Times New Roman" w:hAnsi="Times New Roman" w:cs="Times New Roman"/>
          <w:lang w:val="es-ES_tradnl"/>
        </w:rPr>
        <w:t>relacionados  debe  ser  el  precio,  utilidad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8A3478">
        <w:rPr>
          <w:rFonts w:ascii="Times New Roman" w:hAnsi="Times New Roman" w:cs="Times New Roman"/>
          <w:lang w:val="es-ES_tradnl"/>
        </w:rPr>
        <w:t>o  beneficio  que  se  hubiera  obtenido  en  una  transacción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8A3478">
        <w:rPr>
          <w:rFonts w:ascii="Times New Roman" w:hAnsi="Times New Roman" w:cs="Times New Roman"/>
          <w:lang w:val="es-ES_tradnl"/>
        </w:rPr>
        <w:t>comparable  entre  entidades  o  sujetos  independientes” .</w:t>
      </w:r>
    </w:p>
    <w:p w:rsidR="008A3478" w:rsidRDefault="008A3478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En El Salvador, se han adoptado medidas para controlar los precios de transferencia, como son:</w:t>
      </w:r>
    </w:p>
    <w:p w:rsidR="008A3478" w:rsidRDefault="008A3478" w:rsidP="008A347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Convenios para evitar la doble imposición.</w:t>
      </w:r>
    </w:p>
    <w:p w:rsidR="008A3478" w:rsidRDefault="008A3478" w:rsidP="008A347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Normativa legal sobre precios de transferencia.</w:t>
      </w:r>
    </w:p>
    <w:p w:rsidR="008A3478" w:rsidRDefault="008A3478" w:rsidP="008A3478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Adición al foro global sobre transparencia de la OCDE</w:t>
      </w:r>
    </w:p>
    <w:p w:rsidR="008A3478" w:rsidRDefault="008A3478" w:rsidP="008A3478">
      <w:pPr>
        <w:jc w:val="both"/>
        <w:rPr>
          <w:rFonts w:ascii="Times New Roman" w:hAnsi="Times New Roman" w:cs="Times New Roman"/>
          <w:lang w:val="es-ES_tradnl"/>
        </w:rPr>
      </w:pPr>
    </w:p>
    <w:p w:rsidR="008A3478" w:rsidRDefault="00351780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En la normativa legal salvadoreña, la regulación de los precios de trasferencia se encuentra principalmente en algunos artículos del Código Tributario, los cuales tratan lo siguiente:</w:t>
      </w:r>
    </w:p>
    <w:p w:rsidR="00351780" w:rsidRDefault="00351780" w:rsidP="008A3478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199-A CT</w:t>
      </w:r>
    </w:p>
    <w:p w:rsidR="00351780" w:rsidRDefault="00351780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En donde se faculta a la al Ministerio de Hacienda a estimar la base imponible para el impuesto IVA si se estima que el precio de transferencia y el monto pagado no son fidedignos.</w:t>
      </w:r>
    </w:p>
    <w:p w:rsidR="00351780" w:rsidRDefault="00351780" w:rsidP="008A3478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199-B CT</w:t>
      </w:r>
    </w:p>
    <w:p w:rsidR="00351780" w:rsidRDefault="00351780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El precio de Mercado, es el precio de venta que tienen los bienes o servicios, en negocios o establecimientos ubicados en el país no relacionados con el fiscalizado, que transfieran bienes o presten servicios de la misma especie.</w:t>
      </w:r>
    </w:p>
    <w:p w:rsidR="00351780" w:rsidRDefault="00351780" w:rsidP="008A3478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62-A CT</w:t>
      </w:r>
    </w:p>
    <w:p w:rsidR="00351780" w:rsidRDefault="003D3A72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La determinación de los precios para transacciones con sujetos relacionados debe hacerse utilizando los precios de mercado para transacciones de bienes o servicios de naturaleza similar para sujetos no relacionados.</w:t>
      </w:r>
    </w:p>
    <w:p w:rsidR="003D3A72" w:rsidRDefault="003D3A72" w:rsidP="008A3478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124-A CT</w:t>
      </w:r>
    </w:p>
    <w:p w:rsidR="003D3A72" w:rsidRDefault="003D3A72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Los sujetos que realicen operaciones con sujetos relacionados o domiciliados en países estados o territorios, con regímenes fiscales preferentes de baja o nula tributación o paraísos fiscales y cuya operación sea igual o superior a $ 571,429.00 deben presentar un informe de tales operaciones en los formularios que proporcione la Administración Tributaria.</w:t>
      </w:r>
    </w:p>
    <w:p w:rsidR="003D3A72" w:rsidRDefault="003D3A72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noProof/>
          <w:lang w:val="es-ES" w:eastAsia="es-ES"/>
        </w:rPr>
        <w:lastRenderedPageBreak/>
        <w:drawing>
          <wp:inline distT="0" distB="0" distL="0" distR="0">
            <wp:extent cx="5400040" cy="3466373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466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A72" w:rsidRDefault="003D3A72" w:rsidP="008A3478">
      <w:pPr>
        <w:jc w:val="both"/>
        <w:rPr>
          <w:rFonts w:ascii="Times New Roman" w:hAnsi="Times New Roman" w:cs="Times New Roman"/>
          <w:lang w:val="es-ES_tradnl"/>
        </w:rPr>
      </w:pPr>
    </w:p>
    <w:p w:rsidR="003D3A72" w:rsidRDefault="003D3A72" w:rsidP="008A3478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199-C CT</w:t>
      </w:r>
    </w:p>
    <w:p w:rsidR="003D3A72" w:rsidRDefault="006D67BD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Son sujetos relacionados:</w:t>
      </w:r>
    </w:p>
    <w:p w:rsidR="006D67BD" w:rsidRDefault="006D67BD" w:rsidP="006D67BD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Cuando uno de ellos dirija o controle a la otra</w:t>
      </w:r>
    </w:p>
    <w:p w:rsidR="006D67BD" w:rsidRDefault="006D67BD" w:rsidP="006D67BD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Cuando sean entidades que pertenezcan a una misma unidad de decisión </w:t>
      </w:r>
    </w:p>
    <w:p w:rsidR="006D67BD" w:rsidRDefault="006D67BD" w:rsidP="006D67BD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Una persona domiciliada en el país y un distribuidor exclusivo de la misma residente en el extranjero.</w:t>
      </w:r>
    </w:p>
    <w:p w:rsidR="006D67BD" w:rsidRDefault="006D67BD" w:rsidP="006D67BD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Entre otros.</w:t>
      </w:r>
    </w:p>
    <w:p w:rsidR="006D67BD" w:rsidRDefault="006D67BD" w:rsidP="006D67BD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199-D CT</w:t>
      </w:r>
    </w:p>
    <w:p w:rsidR="006D67BD" w:rsidRDefault="006D67BD" w:rsidP="006D67BD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Para establecer los precios de mercado, es necesario comparar </w:t>
      </w:r>
      <w:r w:rsidR="001A0145">
        <w:rPr>
          <w:rFonts w:ascii="Times New Roman" w:hAnsi="Times New Roman" w:cs="Times New Roman"/>
          <w:lang w:val="es-ES_tradnl"/>
        </w:rPr>
        <w:t>las operaciones</w:t>
      </w:r>
      <w:r>
        <w:rPr>
          <w:rFonts w:ascii="Times New Roman" w:hAnsi="Times New Roman" w:cs="Times New Roman"/>
          <w:lang w:val="es-ES_tradnl"/>
        </w:rPr>
        <w:t xml:space="preserve"> con las de sujetos no relacionados para los cuales debe tenerse en cuenta:</w:t>
      </w:r>
    </w:p>
    <w:p w:rsidR="006D67BD" w:rsidRDefault="006D67BD" w:rsidP="006D67BD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Las características de las operaciones efectuadas </w:t>
      </w:r>
    </w:p>
    <w:p w:rsidR="006D67BD" w:rsidRDefault="006D67BD" w:rsidP="006D67BD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Análisis de las funciones o actividades desempeñadas</w:t>
      </w:r>
    </w:p>
    <w:p w:rsidR="006D67BD" w:rsidRDefault="006D67BD" w:rsidP="006D67BD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Términos contractuales </w:t>
      </w:r>
    </w:p>
    <w:p w:rsidR="006D67BD" w:rsidRDefault="006D67BD" w:rsidP="006D67BD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Circunstancias económicas </w:t>
      </w:r>
    </w:p>
    <w:p w:rsidR="006D67BD" w:rsidRDefault="006D67BD" w:rsidP="006D67BD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Estrategias de negocios</w:t>
      </w:r>
    </w:p>
    <w:p w:rsidR="006D67BD" w:rsidRDefault="006D67BD" w:rsidP="006D67BD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135-f) CT</w:t>
      </w:r>
    </w:p>
    <w:p w:rsidR="00120137" w:rsidRPr="00120137" w:rsidRDefault="00120137" w:rsidP="00120137">
      <w:p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Los Auditores deberán cumplir con las siguientes obligaciones: </w:t>
      </w:r>
    </w:p>
    <w:p w:rsidR="00120137" w:rsidRDefault="00120137" w:rsidP="00120137">
      <w:p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>Reflejar  en  el  Dictamen  y  en  el  Informe  Fiscal,  la  situación  tributaria  del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sujeto  pasivo  dictaminado,  incluyendo  una  nota  o  apartado  que  las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operaciones  entre  sujetos  relacionados  o  con  sujetos  domiciliados,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 xml:space="preserve">constituidos  o  ubicados  en  países,  estados  o  </w:t>
      </w:r>
      <w:r w:rsidRPr="00120137">
        <w:rPr>
          <w:rFonts w:ascii="Times New Roman" w:hAnsi="Times New Roman" w:cs="Times New Roman"/>
          <w:lang w:val="es-ES_tradnl"/>
        </w:rPr>
        <w:lastRenderedPageBreak/>
        <w:t>territorios  con  regímenes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fiscales  preferentes,  de  baja  o  nula  tributación  o  paraísos  fiscales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cumplen con las leyes tributarias y el presente Código.</w:t>
      </w:r>
    </w:p>
    <w:p w:rsidR="00120137" w:rsidRDefault="00120137" w:rsidP="00120137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>Art. 68-i) RCT</w:t>
      </w:r>
    </w:p>
    <w:p w:rsidR="00120137" w:rsidRPr="00120137" w:rsidRDefault="00120137" w:rsidP="00120137">
      <w:p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>El  informe  sobre  la  situación  fiscal  del  contribuyente,  se  integrará  de  la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 xml:space="preserve">forma siguiente: </w:t>
      </w:r>
    </w:p>
    <w:p w:rsidR="00120137" w:rsidRDefault="00120137" w:rsidP="00120137">
      <w:p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>Se revelarán los saldos y las transacciones con sus principales accionistas,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subsidiarias, asociadas y afiliadas. Estas transacciones son, entre otras, la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adquisición  o  enajenación  de  bienes,  la  prestación  o  recepción  de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servicios;  el otorgamiento o recepción  del uso o  goce  temporal  de  bienes;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así  como  la  celebración  de  contratos  que  den  lugar  al  pago  de  regalías,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comisiones u otro tipo de pagos.</w:t>
      </w:r>
    </w:p>
    <w:p w:rsidR="00120137" w:rsidRDefault="00120137" w:rsidP="00120137">
      <w:pPr>
        <w:jc w:val="both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  <w:lang w:val="es-ES_tradnl"/>
        </w:rPr>
        <w:t xml:space="preserve">Art. 147-e)  CT </w:t>
      </w:r>
    </w:p>
    <w:p w:rsidR="00120137" w:rsidRDefault="00120137" w:rsidP="00120137">
      <w:p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>Conservar  en  buen  orden  y  estado,  por  un  período  de  diez  años  contados  a  partir  de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120137">
        <w:rPr>
          <w:rFonts w:ascii="Times New Roman" w:hAnsi="Times New Roman" w:cs="Times New Roman"/>
          <w:lang w:val="es-ES_tradnl"/>
        </w:rPr>
        <w:t>su emisión o recibo, la documentación de las operaciones realizadas.</w:t>
      </w:r>
    </w:p>
    <w:p w:rsidR="00120137" w:rsidRDefault="00120137" w:rsidP="00120137">
      <w:pPr>
        <w:jc w:val="both"/>
        <w:rPr>
          <w:rFonts w:ascii="Times New Roman" w:hAnsi="Times New Roman" w:cs="Times New Roman"/>
          <w:b/>
          <w:lang w:val="es-ES_tradnl"/>
        </w:rPr>
      </w:pPr>
      <w:r w:rsidRPr="00120137">
        <w:rPr>
          <w:rFonts w:ascii="Times New Roman" w:hAnsi="Times New Roman" w:cs="Times New Roman"/>
          <w:b/>
          <w:lang w:val="es-ES_tradnl"/>
        </w:rPr>
        <w:t>Información y documentación relativa al grupo empresarial al que pertenezca el contribuyente</w:t>
      </w:r>
    </w:p>
    <w:p w:rsidR="00120137" w:rsidRDefault="00120137" w:rsidP="0012013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Descripción  general  de  la  estructura  organizativa, jurídica y operativa del grupo.  </w:t>
      </w:r>
    </w:p>
    <w:p w:rsidR="00120137" w:rsidRDefault="00120137" w:rsidP="0012013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Descripción general de la naturaleza e importe de las operaciones entre las empresas del grupo.  </w:t>
      </w:r>
    </w:p>
    <w:p w:rsidR="00120137" w:rsidRDefault="00120137" w:rsidP="0012013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Descripción  general  de  las  funciones  y  riesgos  de  las empresas del grupo. </w:t>
      </w:r>
    </w:p>
    <w:p w:rsidR="00120137" w:rsidRDefault="00120137" w:rsidP="0012013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Relación  de  la  titularidad  de  las  patentes,  marcas, nombres comerciales y demás activos intangibles, así como  importe  de  las  contraprestaciones  derivadas de su utilización.  </w:t>
      </w:r>
    </w:p>
    <w:p w:rsidR="00120137" w:rsidRDefault="00120137" w:rsidP="0012013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Descripción  de  la  política  del  grupo  en  cuanto  a  las operaciones realizadas con los sujetos relacionados.  </w:t>
      </w:r>
    </w:p>
    <w:p w:rsidR="00120137" w:rsidRDefault="00120137" w:rsidP="0012013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Relación  de  los  contratos  de  prestación  de  servicios entre las empresas del grupo. </w:t>
      </w:r>
    </w:p>
    <w:p w:rsidR="00120137" w:rsidRDefault="00120137" w:rsidP="00120137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>Memoria del grupo o informe anual equivalente.</w:t>
      </w:r>
    </w:p>
    <w:p w:rsidR="00120137" w:rsidRDefault="00120137" w:rsidP="00120137">
      <w:pPr>
        <w:jc w:val="both"/>
        <w:rPr>
          <w:rFonts w:ascii="Times New Roman" w:hAnsi="Times New Roman" w:cs="Times New Roman"/>
          <w:b/>
          <w:lang w:val="es-ES_tradnl"/>
        </w:rPr>
      </w:pPr>
      <w:r w:rsidRPr="00120137">
        <w:rPr>
          <w:rFonts w:ascii="Times New Roman" w:hAnsi="Times New Roman" w:cs="Times New Roman"/>
          <w:b/>
          <w:lang w:val="es-ES_tradnl"/>
        </w:rPr>
        <w:t>Documentación del contribuyente</w:t>
      </w:r>
    </w:p>
    <w:p w:rsidR="00120137" w:rsidRDefault="00120137" w:rsidP="00120137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Identificación  del  contribuyente  y  de  los  distintos sujetos  relacionados  o  sujetos  domiciliados, constituidos  o  ubicados  en  países,  estados  o territorios  con  regímenes  fiscales  preferentes,  de baja o nula tributación o paraísos fiscales. </w:t>
      </w:r>
    </w:p>
    <w:p w:rsidR="00120137" w:rsidRDefault="00120137" w:rsidP="00120137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>Descripción  de  la  naturaleza,  características  e importe  de  sus  operaciones  con  los  sujetos relacionados.</w:t>
      </w:r>
    </w:p>
    <w:p w:rsidR="00120137" w:rsidRDefault="00120137" w:rsidP="00120137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 xml:space="preserve">Análisis  de  comparabilidad  detallado,  describiendo además  los  ajustes  realizados  a  los  tipos  de operación  o  empresas  comparables  seleccionadas, en caso de haberse efectuado.  </w:t>
      </w:r>
    </w:p>
    <w:p w:rsidR="00351780" w:rsidRPr="00120137" w:rsidRDefault="00120137" w:rsidP="008A3478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  <w:lang w:val="es-ES_tradnl"/>
        </w:rPr>
      </w:pPr>
      <w:r w:rsidRPr="00120137">
        <w:rPr>
          <w:rFonts w:ascii="Times New Roman" w:hAnsi="Times New Roman" w:cs="Times New Roman"/>
          <w:lang w:val="es-ES_tradnl"/>
        </w:rPr>
        <w:t>Metodología utilizada,  así como su procedimiento de aplicación  y  la  especificación  del  valor  que  el contribuyente  haya  utilizado  para  determinar  el precio o monto de sus operaciones.</w:t>
      </w:r>
    </w:p>
    <w:p w:rsidR="00351780" w:rsidRPr="00351780" w:rsidRDefault="00351780" w:rsidP="008A3478">
      <w:pPr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</w:t>
      </w:r>
    </w:p>
    <w:p w:rsidR="008A3478" w:rsidRPr="008A3478" w:rsidRDefault="008A3478" w:rsidP="008A3478">
      <w:pPr>
        <w:jc w:val="both"/>
        <w:rPr>
          <w:rFonts w:ascii="Times New Roman" w:hAnsi="Times New Roman" w:cs="Times New Roman"/>
          <w:lang w:val="es-ES_tradnl"/>
        </w:rPr>
      </w:pPr>
    </w:p>
    <w:p w:rsidR="008A3478" w:rsidRPr="008A3478" w:rsidRDefault="008A3478">
      <w:pPr>
        <w:rPr>
          <w:rFonts w:ascii="Times New Roman" w:hAnsi="Times New Roman" w:cs="Times New Roman"/>
          <w:lang w:val="es-ES_tradnl"/>
        </w:rPr>
      </w:pPr>
    </w:p>
    <w:sectPr w:rsidR="008A3478" w:rsidRPr="008A3478" w:rsidSect="00C87B40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2062" w:rsidRDefault="00F42062" w:rsidP="008A3478">
      <w:pPr>
        <w:spacing w:after="0" w:line="240" w:lineRule="auto"/>
      </w:pPr>
      <w:r>
        <w:separator/>
      </w:r>
    </w:p>
  </w:endnote>
  <w:endnote w:type="continuationSeparator" w:id="1">
    <w:p w:rsidR="00F42062" w:rsidRDefault="00F42062" w:rsidP="008A3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26516"/>
      <w:docPartObj>
        <w:docPartGallery w:val="Page Numbers (Bottom of Page)"/>
        <w:docPartUnique/>
      </w:docPartObj>
    </w:sdtPr>
    <w:sdtContent>
      <w:p w:rsidR="00120137" w:rsidRDefault="000C6631">
        <w:pPr>
          <w:pStyle w:val="Piedepgina"/>
        </w:pPr>
        <w:r w:rsidRPr="00773773">
          <w:rPr>
            <w:rFonts w:ascii="Times New Roman" w:hAnsi="Times New Roman" w:cs="Times New Roman"/>
            <w:noProof/>
            <w:sz w:val="24"/>
            <w:szCs w:val="24"/>
            <w:lang w:eastAsia="zh-TW"/>
          </w:rPr>
          <w:pict>
            <v:shapetype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sum height 0 #2"/>
                <v:f eqn="prod @10 30573 4096"/>
                <v:f eqn="prod @11 2 1"/>
                <v:f eqn="sum height 0 @12"/>
                <v:f eqn="sum @11 #2 0"/>
                <v:f eqn="sum @11 height #1"/>
                <v:f eqn="sum height 0 #1"/>
                <v:f eqn="prod @16 1 2"/>
                <v:f eqn="sum @11 @17 0"/>
                <v:f eqn="sum @14 #1 height"/>
                <v:f eqn="sum #0 @5 0"/>
                <v:f eqn="sum width 0 @20"/>
                <v:f eqn="sum width 0 #0"/>
                <v:f eqn="sum @6 0 #0"/>
                <v:f eqn="ellipse @23 width @11"/>
                <v:f eqn="sum @24 height @11"/>
                <v:f eqn="sum @25 @11 @19"/>
                <v:f eqn="sum #2 @11 @19"/>
                <v:f eqn="prod @11 2391 32768"/>
                <v:f eqn="sum @6 0 @20"/>
                <v:f eqn="ellipse @29 width @11"/>
                <v:f eqn="sum #1 @30 @11"/>
                <v:f eqn="sum @25 #1 height"/>
                <v:f eqn="sum height @30 @14"/>
                <v:f eqn="sum @11 @14 0"/>
                <v:f eqn="sum height 0 @34"/>
                <v:f eqn="sum @35 @19 @11"/>
                <v:f eqn="sum @10 @15 @11"/>
                <v:f eqn="sum @35 @15 @11"/>
                <v:f eqn="sum @28 @14 @18"/>
                <v:f eqn="sum height 0 @39"/>
                <v:f eqn="sum @19 0 @18"/>
                <v:f eqn="prod @41 2 3"/>
                <v:f eqn="sum #1 0 @42"/>
                <v:f eqn="sum #2 0 @42"/>
                <v:f eqn="min @44 20925"/>
                <v:f eqn="prod width 3 8"/>
                <v:f eqn="sum @46 0 4"/>
              </v:formulas>
              <v:path o:extrusionok="f" o:connecttype="custom" o:connectlocs="@6,@1;@5,@40;@6,@4;@7,@40" o:connectangles="270,180,90,0" textboxrect="@0,@1,@22,@25"/>
              <v:handles>
                <v:h position="#0,bottomRight" xrange="@5,@47"/>
                <v:h position="center,#1" yrange="@10,@43"/>
                <v:h position="topLeft,#2" yrange="@27,@45"/>
              </v:handles>
              <o:complex v:ext="view"/>
            </v:shapetype>
            <v:shape id="_x0000_s2049" type="#_x0000_t107" style="position:absolute;margin-left:387.85pt;margin-top:22.3pt;width:101pt;height:34.25pt;rotation:360;z-index:251660288;mso-position-horizontal-relative:margin;mso-position-vertical-relative:bottom-margin-area" fillcolor="#c0504d [3205]" strokecolor="black [3213]" strokeweight="1pt">
              <v:shadow on="t" type="perspective" color="#622423 [1605]" opacity=".5" offset="1pt" offset2="-1pt"/>
              <v:textbox style="mso-next-textbox:#_x0000_s2049">
                <w:txbxContent>
                  <w:p w:rsidR="00120137" w:rsidRPr="001A0145" w:rsidRDefault="000C6631">
                    <w:pPr>
                      <w:jc w:val="center"/>
                      <w:rPr>
                        <w:b/>
                        <w:color w:val="000000" w:themeColor="text1"/>
                        <w:sz w:val="32"/>
                        <w:lang w:val="es-ES"/>
                      </w:rPr>
                    </w:pP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begin"/>
                    </w:r>
                    <w:r w:rsidR="00120137"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instrText xml:space="preserve"> PAGE    \* MERGEFORMAT </w:instrText>
                    </w: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separate"/>
                    </w:r>
                    <w:r w:rsidR="00773773" w:rsidRPr="00773773">
                      <w:rPr>
                        <w:b/>
                        <w:noProof/>
                        <w:color w:val="000000" w:themeColor="text1"/>
                        <w:sz w:val="32"/>
                      </w:rPr>
                      <w:t>3</w:t>
                    </w:r>
                    <w:r w:rsidRPr="001A0145">
                      <w:rPr>
                        <w:b/>
                        <w:color w:val="000000" w:themeColor="text1"/>
                        <w:sz w:val="32"/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w:r>
        <w:r w:rsidR="00773773" w:rsidRPr="00773773">
          <w:rPr>
            <w:rFonts w:ascii="Times New Roman" w:hAnsi="Times New Roman" w:cs="Times New Roman"/>
            <w:sz w:val="24"/>
            <w:szCs w:val="24"/>
          </w:rPr>
          <w:t>Control de lectura 6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2062" w:rsidRDefault="00F42062" w:rsidP="008A3478">
      <w:pPr>
        <w:spacing w:after="0" w:line="240" w:lineRule="auto"/>
      </w:pPr>
      <w:r>
        <w:separator/>
      </w:r>
    </w:p>
  </w:footnote>
  <w:footnote w:type="continuationSeparator" w:id="1">
    <w:p w:rsidR="00F42062" w:rsidRDefault="00F42062" w:rsidP="008A34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3478" w:rsidRPr="008A3478" w:rsidRDefault="008A3478">
    <w:pPr>
      <w:pStyle w:val="Encabezado"/>
      <w:rPr>
        <w:rFonts w:ascii="Times New Roman" w:hAnsi="Times New Roman" w:cs="Times New Roman"/>
        <w:lang w:val="es-ES_tradnl"/>
      </w:rPr>
    </w:pPr>
    <w:r w:rsidRPr="008A3478">
      <w:rPr>
        <w:rFonts w:ascii="Times New Roman" w:hAnsi="Times New Roman" w:cs="Times New Roman"/>
        <w:lang w:val="es-ES_tradnl"/>
      </w:rPr>
      <w:t xml:space="preserve">Nelson </w:t>
    </w:r>
    <w:r>
      <w:rPr>
        <w:rFonts w:ascii="Times New Roman" w:hAnsi="Times New Roman" w:cs="Times New Roman"/>
        <w:lang w:val="es-ES_tradnl"/>
      </w:rPr>
      <w:t xml:space="preserve">Alejandro Panameño Reyes </w:t>
    </w:r>
    <w:r>
      <w:rPr>
        <w:rFonts w:ascii="Times New Roman" w:hAnsi="Times New Roman" w:cs="Times New Roman"/>
        <w:lang w:val="es-ES_tradnl"/>
      </w:rPr>
      <w:tab/>
    </w:r>
    <w:r>
      <w:rPr>
        <w:rFonts w:ascii="Times New Roman" w:hAnsi="Times New Roman" w:cs="Times New Roman"/>
        <w:lang w:val="es-ES_tradnl"/>
      </w:rPr>
      <w:tab/>
      <w:t>NPanameñoGT04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4669F"/>
    <w:multiLevelType w:val="hybridMultilevel"/>
    <w:tmpl w:val="40266F5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82128"/>
    <w:multiLevelType w:val="hybridMultilevel"/>
    <w:tmpl w:val="85AC804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87287"/>
    <w:multiLevelType w:val="hybridMultilevel"/>
    <w:tmpl w:val="D75A193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167651"/>
    <w:multiLevelType w:val="hybridMultilevel"/>
    <w:tmpl w:val="C3647AF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805220"/>
    <w:multiLevelType w:val="hybridMultilevel"/>
    <w:tmpl w:val="A17454AC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>
      <o:colormenu v:ext="edit" strokecolor="none [3213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A3478"/>
    <w:rsid w:val="000C6631"/>
    <w:rsid w:val="00120137"/>
    <w:rsid w:val="00156565"/>
    <w:rsid w:val="001A0145"/>
    <w:rsid w:val="00351780"/>
    <w:rsid w:val="003D3A72"/>
    <w:rsid w:val="006D0888"/>
    <w:rsid w:val="006D67BD"/>
    <w:rsid w:val="00773773"/>
    <w:rsid w:val="008A3478"/>
    <w:rsid w:val="00B9334B"/>
    <w:rsid w:val="00C87B40"/>
    <w:rsid w:val="00E94972"/>
    <w:rsid w:val="00F420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B40"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8A3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A3478"/>
    <w:rPr>
      <w:lang w:val="es-SV"/>
    </w:rPr>
  </w:style>
  <w:style w:type="paragraph" w:styleId="Piedepgina">
    <w:name w:val="footer"/>
    <w:basedOn w:val="Normal"/>
    <w:link w:val="PiedepginaCar"/>
    <w:uiPriority w:val="99"/>
    <w:semiHidden/>
    <w:unhideWhenUsed/>
    <w:rsid w:val="008A34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A3478"/>
    <w:rPr>
      <w:lang w:val="es-SV"/>
    </w:rPr>
  </w:style>
  <w:style w:type="paragraph" w:styleId="Prrafodelista">
    <w:name w:val="List Paragraph"/>
    <w:basedOn w:val="Normal"/>
    <w:uiPriority w:val="34"/>
    <w:qFormat/>
    <w:rsid w:val="008A347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D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3A72"/>
    <w:rPr>
      <w:rFonts w:ascii="Tahoma" w:hAnsi="Tahoma" w:cs="Tahoma"/>
      <w:sz w:val="16"/>
      <w:szCs w:val="16"/>
      <w:lang w:val="es-S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862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</cp:lastModifiedBy>
  <cp:revision>2</cp:revision>
  <dcterms:created xsi:type="dcterms:W3CDTF">2003-12-31T15:12:00Z</dcterms:created>
  <dcterms:modified xsi:type="dcterms:W3CDTF">2003-12-31T18:23:00Z</dcterms:modified>
</cp:coreProperties>
</file>