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826" w:rsidRDefault="0081487D" w:rsidP="00933826">
      <w:pPr>
        <w:tabs>
          <w:tab w:val="left" w:pos="9594"/>
        </w:tabs>
      </w:pPr>
      <w:r>
        <w:rPr>
          <w:noProof/>
          <w:lang w:eastAsia="es-S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2" type="#_x0000_t32" style="position:absolute;margin-left:272.95pt;margin-top:20.95pt;width:0;height:21.65pt;z-index:251755520" o:connectortype="straight">
            <v:stroke endarrow="block"/>
          </v:shape>
        </w:pict>
      </w:r>
      <w:r>
        <w:rPr>
          <w:noProof/>
          <w:lang w:eastAsia="es-SV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21" type="#_x0000_t34" style="position:absolute;margin-left:237.8pt;margin-top:20.95pt;width:418.55pt;height:25.95pt;z-index:251754496" o:connectortype="elbow" adj="6521,-47403,-14130"/>
        </w:pict>
      </w:r>
      <w:r>
        <w:rPr>
          <w:noProof/>
          <w:lang w:eastAsia="es-SV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117" type="#_x0000_t21" style="position:absolute;margin-left:413.05pt;margin-top:-18pt;width:131.45pt;height:47.4pt;z-index:251751424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>
              <w:txbxContent>
                <w:p w:rsidR="0081487D" w:rsidRDefault="0081487D" w:rsidP="0081487D">
                  <w:pPr>
                    <w:pStyle w:val="Sinespaciado"/>
                    <w:jc w:val="center"/>
                  </w:pPr>
                  <w:r>
                    <w:t xml:space="preserve">Disposiciones generales y transitorias </w:t>
                  </w:r>
                </w:p>
              </w:txbxContent>
            </v:textbox>
          </v:shape>
        </w:pict>
      </w:r>
      <w:r>
        <w:rPr>
          <w:noProof/>
          <w:lang w:eastAsia="es-SV"/>
        </w:rPr>
        <w:pict>
          <v:shape id="_x0000_s1116" type="#_x0000_t21" style="position:absolute;margin-left:577.45pt;margin-top:.3pt;width:97.1pt;height:27.55pt;z-index:251750400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>
              <w:txbxContent>
                <w:p w:rsidR="0081487D" w:rsidRDefault="0081487D" w:rsidP="0081487D">
                  <w:pPr>
                    <w:pStyle w:val="Sinespaciado"/>
                    <w:jc w:val="center"/>
                  </w:pPr>
                  <w:r>
                    <w:t xml:space="preserve">Sanciones </w:t>
                  </w:r>
                </w:p>
              </w:txbxContent>
            </v:textbox>
          </v:shape>
        </w:pict>
      </w:r>
      <w:r w:rsidR="00933826">
        <w:rPr>
          <w:noProof/>
          <w:lang w:eastAsia="es-SV"/>
        </w:rPr>
        <w:pict>
          <v:oval id="_x0000_s1034" style="position:absolute;margin-left:-16.7pt;margin-top:.3pt;width:259.05pt;height:32.5pt;z-index:251668480" fillcolor="white [3201]" strokecolor="#4f81bd [3204]" strokeweight="5pt">
            <v:stroke linestyle="thickThin"/>
            <v:shadow color="#868686"/>
            <v:textbox style="mso-next-textbox:#_x0000_s1034">
              <w:txbxContent>
                <w:p w:rsidR="00933826" w:rsidRPr="001A492F" w:rsidRDefault="00933826" w:rsidP="00933826">
                  <w:pPr>
                    <w:pStyle w:val="Sinespaciado"/>
                    <w:jc w:val="center"/>
                    <w:rPr>
                      <w:b/>
                    </w:rPr>
                  </w:pPr>
                  <w:r>
                    <w:rPr>
                      <w:b/>
                      <w:u w:val="single"/>
                    </w:rPr>
                    <w:t xml:space="preserve">LEY DE IMPUESTO SOBRE LA RENTA </w:t>
                  </w:r>
                </w:p>
              </w:txbxContent>
            </v:textbox>
          </v:oval>
        </w:pict>
      </w:r>
    </w:p>
    <w:p w:rsidR="00933826" w:rsidRDefault="0081487D" w:rsidP="00933826">
      <w:pPr>
        <w:jc w:val="right"/>
      </w:pPr>
      <w:r>
        <w:rPr>
          <w:noProof/>
          <w:lang w:eastAsia="es-SV"/>
        </w:rPr>
        <w:pict>
          <v:shape id="_x0000_s1126" type="#_x0000_t32" style="position:absolute;left:0;text-align:left;margin-left:656.35pt;margin-top:21.45pt;width:0;height:16.95pt;z-index:251759616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25" type="#_x0000_t32" style="position:absolute;left:0;text-align:left;margin-left:622.95pt;margin-top:3.95pt;width:0;height:17.5pt;flip:y;z-index:251758592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24" type="#_x0000_t32" style="position:absolute;left:0;text-align:left;margin-left:426.15pt;margin-top:21.45pt;width:0;height:11.2pt;z-index:251757568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23" type="#_x0000_t32" style="position:absolute;left:0;text-align:left;margin-left:497.35pt;margin-top:7.35pt;width:0;height:14.1pt;flip:y;z-index:251756544" o:connectortype="straight">
            <v:stroke endarrow="block"/>
          </v:shape>
        </w:pict>
      </w:r>
      <w:r w:rsidR="008E52AA">
        <w:rPr>
          <w:noProof/>
          <w:lang w:eastAsia="es-SV"/>
        </w:rPr>
        <w:pict>
          <v:shape id="_x0000_s1030" type="#_x0000_t21" style="position:absolute;left:0;text-align:left;margin-left:201.65pt;margin-top:17.15pt;width:117pt;height:46.35pt;z-index:251664384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>
              <w:txbxContent>
                <w:p w:rsidR="00933826" w:rsidRDefault="008E52AA" w:rsidP="00933826">
                  <w:pPr>
                    <w:jc w:val="center"/>
                  </w:pPr>
                  <w:r>
                    <w:t xml:space="preserve">Determinación de la renta neta </w:t>
                  </w:r>
                </w:p>
              </w:txbxContent>
            </v:textbox>
          </v:shape>
        </w:pict>
      </w:r>
      <w:r w:rsidR="00933826">
        <w:rPr>
          <w:noProof/>
          <w:lang w:eastAsia="es-SV"/>
        </w:rPr>
        <w:pict>
          <v:shape id="_x0000_s1032" type="#_x0000_t32" style="position:absolute;left:0;text-align:left;margin-left:-.85pt;margin-top:.25pt;width:0;height:334.9pt;z-index:251666432" o:connectortype="straight"/>
        </w:pict>
      </w:r>
    </w:p>
    <w:p w:rsidR="00933826" w:rsidRPr="001F3509" w:rsidRDefault="0081487D" w:rsidP="00933826">
      <w:pPr>
        <w:jc w:val="right"/>
      </w:pPr>
      <w:r>
        <w:rPr>
          <w:noProof/>
          <w:lang w:eastAsia="es-SV"/>
        </w:rPr>
        <w:pict>
          <v:shape id="_x0000_s1115" type="#_x0000_t21" style="position:absolute;left:0;text-align:left;margin-left:574.85pt;margin-top:12.95pt;width:131.45pt;height:25.1pt;z-index:251749376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>
              <w:txbxContent>
                <w:p w:rsidR="0081487D" w:rsidRDefault="0081487D" w:rsidP="0081487D">
                  <w:pPr>
                    <w:pStyle w:val="Sinespaciado"/>
                    <w:jc w:val="center"/>
                  </w:pPr>
                  <w:r>
                    <w:t xml:space="preserve">Deberes de los sujetos </w:t>
                  </w:r>
                </w:p>
              </w:txbxContent>
            </v:textbox>
          </v:shape>
        </w:pict>
      </w:r>
      <w:r w:rsidR="00050BF1">
        <w:rPr>
          <w:noProof/>
          <w:lang w:eastAsia="es-SV"/>
        </w:rPr>
        <w:pict>
          <v:shape id="_x0000_s1031" type="#_x0000_t21" style="position:absolute;left:0;text-align:left;margin-left:403.3pt;margin-top:7.2pt;width:131.45pt;height:47.4pt;z-index:251665408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>
              <w:txbxContent>
                <w:p w:rsidR="00933826" w:rsidRDefault="00050BF1" w:rsidP="00933826">
                  <w:pPr>
                    <w:pStyle w:val="Sinespaciado"/>
                    <w:jc w:val="center"/>
                  </w:pPr>
                  <w:r>
                    <w:t xml:space="preserve">Liquidación y pago del impuesto </w:t>
                  </w:r>
                </w:p>
              </w:txbxContent>
            </v:textbox>
          </v:shape>
        </w:pict>
      </w:r>
      <w:r w:rsidR="00933826">
        <w:rPr>
          <w:noProof/>
          <w:lang w:eastAsia="es-SV"/>
        </w:rPr>
        <w:pict>
          <v:shape id="_x0000_s1026" type="#_x0000_t21" style="position:absolute;left:0;text-align:left;margin-left:10.9pt;margin-top:4.1pt;width:99.6pt;height:27.6pt;z-index:251661312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>
              <w:txbxContent>
                <w:p w:rsidR="00933826" w:rsidRDefault="00933826" w:rsidP="00933826">
                  <w:r>
                    <w:t xml:space="preserve">Rentas gravadas </w:t>
                  </w:r>
                </w:p>
              </w:txbxContent>
            </v:textbox>
          </v:shape>
        </w:pict>
      </w:r>
      <w:r w:rsidR="00933826">
        <w:rPr>
          <w:noProof/>
          <w:lang w:eastAsia="es-SV"/>
        </w:rPr>
        <w:pict>
          <v:shape id="_x0000_s1027" type="#_x0000_t32" style="position:absolute;left:0;text-align:left;margin-left:-.2pt;margin-top:18.15pt;width:11.1pt;height:0;z-index:251660288" o:connectortype="straight">
            <v:stroke endarrow="block"/>
          </v:shape>
        </w:pict>
      </w:r>
    </w:p>
    <w:p w:rsidR="00933826" w:rsidRDefault="0081487D" w:rsidP="00933826">
      <w:r>
        <w:rPr>
          <w:noProof/>
          <w:lang w:eastAsia="es-SV"/>
        </w:rPr>
        <w:pict>
          <v:shape id="_x0000_s1046" type="#_x0000_t32" style="position:absolute;margin-left:622.9pt;margin-top:12.6pt;width:.05pt;height:16.85pt;z-index:251680768" o:connectortype="straight">
            <v:stroke endarrow="block"/>
          </v:shape>
        </w:pict>
      </w:r>
      <w:r w:rsidR="00845C47">
        <w:rPr>
          <w:noProof/>
          <w:lang w:eastAsia="es-SV"/>
        </w:rPr>
        <w:pict>
          <v:shape id="_x0000_s1081" type="#_x0000_t32" style="position:absolute;margin-left:530.5pt;margin-top:25.3pt;width:.05pt;height:210.55pt;z-index:251716608" o:connectortype="straight"/>
        </w:pict>
      </w:r>
      <w:r w:rsidR="00DD1B72">
        <w:rPr>
          <w:noProof/>
          <w:lang w:eastAsia="es-SV"/>
        </w:rPr>
        <w:pict>
          <v:shape id="_x0000_s1072" type="#_x0000_t32" style="position:absolute;margin-left:222.95pt;margin-top:12.6pt;width:0;height:242.2pt;z-index:251707392" o:connectortype="straight"/>
        </w:pict>
      </w:r>
      <w:r w:rsidR="008E52AA">
        <w:rPr>
          <w:noProof/>
          <w:lang w:eastAsia="es-SV"/>
        </w:rPr>
        <w:pict>
          <v:shape id="_x0000_s1049" type="#_x0000_t21" style="position:absolute;margin-left:22.9pt;margin-top:25.3pt;width:162.15pt;height:101.45pt;z-index:251683840" adj="2148" fillcolor="white [3201]" strokecolor="#4f81bd [3204]" strokeweight="2.5pt">
            <v:shadow color="#868686"/>
            <v:textbox style="mso-next-textbox:#_x0000_s1049">
              <w:txbxContent>
                <w:p w:rsidR="00933826" w:rsidRDefault="00933826" w:rsidP="00933826">
                  <w:pPr>
                    <w:pStyle w:val="Sinespaciado"/>
                    <w:numPr>
                      <w:ilvl w:val="0"/>
                      <w:numId w:val="3"/>
                    </w:numPr>
                    <w:ind w:left="142" w:hanging="284"/>
                    <w:jc w:val="both"/>
                  </w:pPr>
                  <w:r>
                    <w:t xml:space="preserve">Hecho generador </w:t>
                  </w:r>
                </w:p>
                <w:p w:rsidR="00933826" w:rsidRDefault="00933826" w:rsidP="00933826">
                  <w:pPr>
                    <w:pStyle w:val="Sinespaciado"/>
                    <w:numPr>
                      <w:ilvl w:val="0"/>
                      <w:numId w:val="3"/>
                    </w:numPr>
                    <w:ind w:left="142" w:hanging="284"/>
                    <w:jc w:val="both"/>
                  </w:pPr>
                  <w:r>
                    <w:t xml:space="preserve">Renta obtenida </w:t>
                  </w:r>
                </w:p>
                <w:p w:rsidR="00933826" w:rsidRDefault="00933826" w:rsidP="00933826">
                  <w:pPr>
                    <w:pStyle w:val="Sinespaciado"/>
                    <w:numPr>
                      <w:ilvl w:val="0"/>
                      <w:numId w:val="3"/>
                    </w:numPr>
                    <w:ind w:left="142" w:hanging="284"/>
                    <w:jc w:val="both"/>
                  </w:pPr>
                  <w:r>
                    <w:t>Productos o utilidades excluidos del concepto de renta</w:t>
                  </w:r>
                </w:p>
                <w:p w:rsidR="00933826" w:rsidRDefault="00933826" w:rsidP="00933826">
                  <w:pPr>
                    <w:pStyle w:val="Sinespaciado"/>
                    <w:numPr>
                      <w:ilvl w:val="0"/>
                      <w:numId w:val="3"/>
                    </w:numPr>
                    <w:ind w:left="142" w:hanging="284"/>
                    <w:jc w:val="both"/>
                  </w:pPr>
                  <w:r>
                    <w:t>Rentas no gravables</w:t>
                  </w:r>
                </w:p>
                <w:p w:rsidR="00933826" w:rsidRDefault="00933826" w:rsidP="00933826">
                  <w:pPr>
                    <w:pStyle w:val="Sinespaciado"/>
                    <w:jc w:val="center"/>
                  </w:pPr>
                </w:p>
              </w:txbxContent>
            </v:textbox>
          </v:shape>
        </w:pict>
      </w:r>
      <w:r w:rsidR="008E52AA">
        <w:rPr>
          <w:noProof/>
          <w:lang w:eastAsia="es-SV"/>
        </w:rPr>
        <w:pict>
          <v:shape id="_x0000_s1028" type="#_x0000_t32" style="position:absolute;margin-left:29.1pt;margin-top:6.25pt;width:0;height:25.45pt;z-index:251662336" o:connectortype="straight">
            <v:stroke endarrow="block"/>
          </v:shape>
        </w:pict>
      </w:r>
    </w:p>
    <w:p w:rsidR="00933826" w:rsidRPr="00B30540" w:rsidRDefault="0081487D" w:rsidP="00933826">
      <w:r>
        <w:rPr>
          <w:noProof/>
          <w:lang w:eastAsia="es-SV"/>
        </w:rPr>
        <w:pict>
          <v:shape id="_x0000_s1118" type="#_x0000_t21" style="position:absolute;margin-left:561.7pt;margin-top:3.75pt;width:177.7pt;height:39.4pt;z-index:251752448" adj="1695" fillcolor="white [3201]" strokecolor="#4f81bd [3204]" strokeweight="1pt">
            <v:stroke dashstyle="dash"/>
            <v:shadow color="#868686"/>
            <v:textbox style="mso-next-textbox:#_x0000_s1118">
              <w:txbxContent>
                <w:p w:rsidR="0081487D" w:rsidRDefault="0081487D" w:rsidP="0081487D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Obligación de declarar y pagar </w:t>
                  </w:r>
                </w:p>
                <w:p w:rsidR="0081487D" w:rsidRDefault="0081487D" w:rsidP="0081487D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Control e investigación de rentas </w:t>
                  </w:r>
                </w:p>
              </w:txbxContent>
            </v:textbox>
          </v:shape>
        </w:pict>
      </w:r>
      <w:r w:rsidR="00845C47">
        <w:rPr>
          <w:noProof/>
          <w:lang w:eastAsia="es-SV"/>
        </w:rPr>
        <w:pict>
          <v:shape id="_x0000_s1068" type="#_x0000_t21" style="position:absolute;margin-left:405pt;margin-top:23.85pt;width:81.1pt;height:31.55pt;z-index:251703296" fillcolor="white [3201]" strokecolor="#4f81bd [3204]" strokeweight="2.5pt">
            <v:shadow color="#868686"/>
            <v:textbox>
              <w:txbxContent>
                <w:p w:rsidR="00933826" w:rsidRDefault="00050BF1" w:rsidP="00933826">
                  <w:pPr>
                    <w:pStyle w:val="Sinespaciado"/>
                  </w:pPr>
                  <w:r>
                    <w:t xml:space="preserve">Liquidación </w:t>
                  </w:r>
                  <w:r w:rsidR="00933826">
                    <w:t xml:space="preserve"> </w:t>
                  </w:r>
                </w:p>
              </w:txbxContent>
            </v:textbox>
          </v:shape>
        </w:pict>
      </w:r>
      <w:r w:rsidR="008E52AA">
        <w:rPr>
          <w:noProof/>
          <w:lang w:eastAsia="es-SV"/>
        </w:rPr>
        <w:pict>
          <v:shape id="_x0000_s1071" type="#_x0000_t21" style="position:absolute;margin-left:236.15pt;margin-top:3.75pt;width:148.85pt;height:195.05pt;z-index:251706368" adj="1184" fillcolor="white [3201]" strokecolor="#4f81bd [3204]" strokeweight="2.5pt">
            <v:shadow color="#868686"/>
            <v:textbox>
              <w:txbxContent>
                <w:p w:rsidR="00933826" w:rsidRDefault="008E52AA" w:rsidP="00DD1B72">
                  <w:pPr>
                    <w:pStyle w:val="Sinespaciado"/>
                    <w:numPr>
                      <w:ilvl w:val="0"/>
                      <w:numId w:val="5"/>
                    </w:numPr>
                    <w:ind w:left="284"/>
                  </w:pPr>
                  <w:r>
                    <w:t>Renta neta</w:t>
                  </w:r>
                </w:p>
                <w:p w:rsidR="008E52AA" w:rsidRDefault="00DD1B72" w:rsidP="00DD1B72">
                  <w:pPr>
                    <w:pStyle w:val="Sinespaciado"/>
                    <w:numPr>
                      <w:ilvl w:val="0"/>
                      <w:numId w:val="5"/>
                    </w:numPr>
                    <w:ind w:left="284"/>
                  </w:pPr>
                  <w:r>
                    <w:t xml:space="preserve">Deducciones generales </w:t>
                  </w:r>
                </w:p>
                <w:p w:rsidR="00DD1B72" w:rsidRDefault="00DD1B72" w:rsidP="00DD1B72">
                  <w:pPr>
                    <w:pStyle w:val="Sinespaciado"/>
                    <w:numPr>
                      <w:ilvl w:val="0"/>
                      <w:numId w:val="5"/>
                    </w:numPr>
                    <w:ind w:left="284"/>
                  </w:pPr>
                  <w:r>
                    <w:t xml:space="preserve">Costos y gastos no deducibles </w:t>
                  </w:r>
                </w:p>
                <w:p w:rsidR="00DD1B72" w:rsidRDefault="00DD1B72" w:rsidP="00DD1B72">
                  <w:pPr>
                    <w:pStyle w:val="Sinespaciado"/>
                    <w:numPr>
                      <w:ilvl w:val="0"/>
                      <w:numId w:val="5"/>
                    </w:numPr>
                    <w:ind w:left="284"/>
                  </w:pPr>
                  <w:r>
                    <w:t xml:space="preserve">Depreciación </w:t>
                  </w:r>
                </w:p>
                <w:p w:rsidR="00DD1B72" w:rsidRDefault="00DD1B72" w:rsidP="00DD1B72">
                  <w:pPr>
                    <w:pStyle w:val="Sinespaciado"/>
                    <w:numPr>
                      <w:ilvl w:val="0"/>
                      <w:numId w:val="5"/>
                    </w:numPr>
                    <w:ind w:left="284"/>
                  </w:pPr>
                  <w:r>
                    <w:t>Amortización de programas informáticos o software</w:t>
                  </w:r>
                </w:p>
                <w:p w:rsidR="00DD1B72" w:rsidRDefault="00DD1B72" w:rsidP="00DD1B72">
                  <w:pPr>
                    <w:pStyle w:val="Sinespaciado"/>
                    <w:numPr>
                      <w:ilvl w:val="0"/>
                      <w:numId w:val="5"/>
                    </w:numPr>
                    <w:ind w:left="284"/>
                  </w:pPr>
                  <w:r>
                    <w:t>Otras deducciones</w:t>
                  </w:r>
                </w:p>
                <w:p w:rsidR="00DD1B72" w:rsidRDefault="00DD1B72" w:rsidP="00DD1B72">
                  <w:pPr>
                    <w:pStyle w:val="Sinespaciado"/>
                    <w:numPr>
                      <w:ilvl w:val="0"/>
                      <w:numId w:val="5"/>
                    </w:numPr>
                    <w:ind w:left="284"/>
                  </w:pPr>
                  <w:r>
                    <w:t xml:space="preserve">Erogaciones con fines sociales </w:t>
                  </w:r>
                </w:p>
                <w:p w:rsidR="00DD1B72" w:rsidRDefault="00DD1B72" w:rsidP="00DD1B72">
                  <w:pPr>
                    <w:pStyle w:val="Sinespaciado"/>
                    <w:numPr>
                      <w:ilvl w:val="0"/>
                      <w:numId w:val="5"/>
                    </w:numPr>
                    <w:ind w:left="284"/>
                  </w:pPr>
                  <w:r>
                    <w:t xml:space="preserve">Otras deducciones para personas naturales </w:t>
                  </w:r>
                </w:p>
                <w:p w:rsidR="00DD1B72" w:rsidRDefault="00DD1B72" w:rsidP="00933826">
                  <w:pPr>
                    <w:pStyle w:val="Sinespaciado"/>
                  </w:pPr>
                  <w:r>
                    <w:t xml:space="preserve"> </w:t>
                  </w:r>
                </w:p>
              </w:txbxContent>
            </v:textbox>
          </v:shape>
        </w:pict>
      </w:r>
      <w:r w:rsidR="00933826">
        <w:rPr>
          <w:noProof/>
          <w:lang w:eastAsia="es-SV"/>
        </w:rPr>
        <w:pict>
          <v:shape id="_x0000_s1073" type="#_x0000_t32" style="position:absolute;margin-left:222.95pt;margin-top:19.05pt;width:14.85pt;height:0;z-index:251708416" o:connectortype="straight">
            <v:stroke endarrow="block"/>
          </v:shape>
        </w:pict>
      </w:r>
    </w:p>
    <w:p w:rsidR="00933826" w:rsidRPr="00B30540" w:rsidRDefault="00050BF1" w:rsidP="00933826">
      <w:r>
        <w:rPr>
          <w:noProof/>
          <w:lang w:eastAsia="es-SV"/>
        </w:rPr>
        <w:pict>
          <v:shape id="_x0000_s1083" type="#_x0000_t32" style="position:absolute;margin-left:486.1pt;margin-top:13.45pt;width:44.4pt;height:.05pt;flip:x;z-index:251718656" o:connectortype="straight">
            <v:stroke endarrow="block"/>
          </v:shape>
        </w:pict>
      </w:r>
    </w:p>
    <w:p w:rsidR="00933826" w:rsidRPr="00B30540" w:rsidRDefault="0081487D" w:rsidP="00933826">
      <w:r>
        <w:rPr>
          <w:noProof/>
          <w:lang w:eastAsia="es-SV"/>
        </w:rPr>
        <w:pict>
          <v:shape id="_x0000_s1077" type="#_x0000_t21" style="position:absolute;margin-left:546.15pt;margin-top:13.75pt;width:152.9pt;height:42.15pt;z-index:251712512" fillcolor="white [3201]" strokecolor="#4f81bd [3204]" strokeweight="2.5pt">
            <v:shadow color="#868686"/>
            <v:textbox>
              <w:txbxContent>
                <w:p w:rsidR="00933826" w:rsidRDefault="00845C47" w:rsidP="00933826">
                  <w:pPr>
                    <w:pStyle w:val="Sinespaciado"/>
                  </w:pPr>
                  <w:r>
                    <w:t xml:space="preserve">Impuesto sobre la renta a la distribución de utilidades </w:t>
                  </w:r>
                </w:p>
              </w:txbxContent>
            </v:textbox>
          </v:shape>
        </w:pict>
      </w:r>
      <w:r w:rsidR="00845C47">
        <w:rPr>
          <w:noProof/>
          <w:lang w:eastAsia="es-SV"/>
        </w:rPr>
        <w:pict>
          <v:shape id="_x0000_s1101" type="#_x0000_t21" style="position:absolute;margin-left:399.05pt;margin-top:18.95pt;width:122.95pt;height:115.2pt;z-index:251736064" adj="1695" fillcolor="white [3201]" strokecolor="#4f81bd [3204]" strokeweight="1pt">
            <v:stroke dashstyle="dash"/>
            <v:shadow color="#868686"/>
            <v:textbox style="mso-next-textbox:#_x0000_s1101">
              <w:txbxContent>
                <w:p w:rsidR="00050BF1" w:rsidRDefault="00050BF1" w:rsidP="00050BF1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Liquidación presentación y modificación de la declaración </w:t>
                  </w:r>
                </w:p>
                <w:p w:rsidR="00050BF1" w:rsidRDefault="00050BF1" w:rsidP="00050BF1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>Liquidación en caso de conjuntos no domiciliados</w:t>
                  </w:r>
                </w:p>
              </w:txbxContent>
            </v:textbox>
          </v:shape>
        </w:pict>
      </w:r>
      <w:r w:rsidR="00050BF1">
        <w:rPr>
          <w:noProof/>
          <w:lang w:eastAsia="es-SV"/>
        </w:rPr>
        <w:pict>
          <v:shape id="_x0000_s1102" type="#_x0000_t32" style="position:absolute;margin-left:463pt;margin-top:4.5pt;width:0;height:14.45pt;z-index:251737088" o:connectortype="straight">
            <v:stroke endarrow="block"/>
          </v:shape>
        </w:pict>
      </w:r>
    </w:p>
    <w:p w:rsidR="00933826" w:rsidRPr="00B30540" w:rsidRDefault="0081487D" w:rsidP="00933826">
      <w:r>
        <w:rPr>
          <w:noProof/>
          <w:lang w:eastAsia="es-SV"/>
        </w:rPr>
        <w:pict>
          <v:shape id="_x0000_s1109" type="#_x0000_t32" style="position:absolute;margin-left:530.55pt;margin-top:9.4pt;width:15.6pt;height:.85pt;z-index:251743232" o:connectortype="straight">
            <v:stroke endarrow="block"/>
          </v:shape>
        </w:pict>
      </w:r>
    </w:p>
    <w:p w:rsidR="00933826" w:rsidRPr="00B30540" w:rsidRDefault="0081487D" w:rsidP="00933826">
      <w:r>
        <w:rPr>
          <w:noProof/>
          <w:lang w:eastAsia="es-SV"/>
        </w:rPr>
        <w:pict>
          <v:shape id="_x0000_s1108" type="#_x0000_t21" style="position:absolute;margin-left:558.35pt;margin-top:19.9pt;width:181.3pt;height:130.35pt;z-index:251742208" adj="1695" fillcolor="white [3201]" strokecolor="#4f81bd [3204]" strokeweight="1pt">
            <v:stroke dashstyle="dash"/>
            <v:shadow color="#868686"/>
            <v:textbox style="mso-next-textbox:#_x0000_s1108">
              <w:txbxContent>
                <w:p w:rsidR="00845C47" w:rsidRDefault="00845C47" w:rsidP="00845C47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Retención por pago o acreditación de utilidades </w:t>
                  </w:r>
                </w:p>
                <w:p w:rsidR="00845C47" w:rsidRDefault="00845C47" w:rsidP="00845C47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Retención en caso especial </w:t>
                  </w:r>
                </w:p>
                <w:p w:rsidR="00845C47" w:rsidRDefault="00845C47" w:rsidP="00845C47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Retención por disminución de capital </w:t>
                  </w:r>
                </w:p>
                <w:p w:rsidR="00845C47" w:rsidRDefault="00845C47" w:rsidP="00845C47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>Retención por préstamos</w:t>
                  </w:r>
                </w:p>
                <w:p w:rsidR="00845C47" w:rsidRDefault="00845C47" w:rsidP="00845C47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Casos de </w:t>
                  </w:r>
                  <w:r w:rsidR="0081487D">
                    <w:t>exención</w:t>
                  </w:r>
                </w:p>
                <w:p w:rsidR="00845C47" w:rsidRDefault="00845C47" w:rsidP="00845C47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>R</w:t>
                  </w:r>
                  <w:r w:rsidR="0081487D">
                    <w:t>eg</w:t>
                  </w:r>
                  <w:r>
                    <w:t>i</w:t>
                  </w:r>
                  <w:r w:rsidR="0081487D">
                    <w:t>s</w:t>
                  </w:r>
                  <w:r>
                    <w:t xml:space="preserve">tro de control de utilidades </w:t>
                  </w:r>
                </w:p>
              </w:txbxContent>
            </v:textbox>
          </v:shape>
        </w:pict>
      </w:r>
      <w:r>
        <w:rPr>
          <w:noProof/>
          <w:lang w:eastAsia="es-SV"/>
        </w:rPr>
        <w:pict>
          <v:shape id="_x0000_s1113" type="#_x0000_t32" style="position:absolute;margin-left:566.85pt;margin-top:5pt;width:0;height:20.65pt;z-index:251747328" o:connectortype="straight">
            <v:stroke endarrow="block"/>
          </v:shape>
        </w:pict>
      </w:r>
      <w:r w:rsidR="008E52AA">
        <w:rPr>
          <w:noProof/>
          <w:lang w:eastAsia="es-SV"/>
        </w:rPr>
        <w:pict>
          <v:shape id="_x0000_s1029" type="#_x0000_t21" style="position:absolute;margin-left:16.6pt;margin-top:15.85pt;width:57.55pt;height:32.2pt;z-index:251663360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 style="mso-next-textbox:#_x0000_s1029">
              <w:txbxContent>
                <w:p w:rsidR="00933826" w:rsidRDefault="00933826" w:rsidP="00933826">
                  <w:r>
                    <w:t xml:space="preserve">Sujetos </w:t>
                  </w:r>
                </w:p>
              </w:txbxContent>
            </v:textbox>
          </v:shape>
        </w:pict>
      </w:r>
    </w:p>
    <w:p w:rsidR="00933826" w:rsidRPr="00B30540" w:rsidRDefault="008E52AA" w:rsidP="00933826">
      <w:r>
        <w:rPr>
          <w:noProof/>
          <w:lang w:eastAsia="es-SV"/>
        </w:rPr>
        <w:pict>
          <v:shape id="_x0000_s1039" type="#_x0000_t32" style="position:absolute;margin-left:-.2pt;margin-top:7.6pt;width:17.45pt;height:0;z-index:25167360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61" type="#_x0000_t32" style="position:absolute;margin-left:26.55pt;margin-top:23.85pt;width:0;height:17.65pt;z-index:251696128" o:connectortype="straight">
            <v:stroke endarrow="block"/>
          </v:shape>
        </w:pict>
      </w:r>
    </w:p>
    <w:p w:rsidR="00933826" w:rsidRPr="00B30540" w:rsidRDefault="008E52AA" w:rsidP="00933826">
      <w:r>
        <w:rPr>
          <w:noProof/>
          <w:lang w:eastAsia="es-SV"/>
        </w:rPr>
        <w:pict>
          <v:shape id="_x0000_s1055" type="#_x0000_t21" style="position:absolute;margin-left:19.15pt;margin-top:13.55pt;width:184.95pt;height:55.9pt;z-index:251689984" adj="1966" fillcolor="white [3201]" strokecolor="#4f81bd [3204]" strokeweight="2.5pt">
            <v:shadow color="#868686"/>
            <v:textbox>
              <w:txbxContent>
                <w:p w:rsidR="00933826" w:rsidRDefault="00933826" w:rsidP="008E52AA">
                  <w:pPr>
                    <w:pStyle w:val="Sinespaciado"/>
                    <w:numPr>
                      <w:ilvl w:val="0"/>
                      <w:numId w:val="4"/>
                    </w:numPr>
                    <w:ind w:left="284"/>
                  </w:pPr>
                  <w:r>
                    <w:t>Sujetos pasivos de la obligación tributaria sustantiva</w:t>
                  </w:r>
                </w:p>
                <w:p w:rsidR="00933826" w:rsidRDefault="00933826" w:rsidP="008E52AA">
                  <w:pPr>
                    <w:pStyle w:val="Sinespaciado"/>
                    <w:numPr>
                      <w:ilvl w:val="0"/>
                      <w:numId w:val="4"/>
                    </w:numPr>
                    <w:ind w:left="284"/>
                  </w:pPr>
                  <w:r>
                    <w:t xml:space="preserve">Exclusión de sujetos pasivos </w:t>
                  </w:r>
                </w:p>
                <w:p w:rsidR="00933826" w:rsidRDefault="00933826" w:rsidP="00933826">
                  <w:pPr>
                    <w:pStyle w:val="Sinespaciado"/>
                  </w:pPr>
                </w:p>
                <w:p w:rsidR="00933826" w:rsidRDefault="00933826" w:rsidP="00933826">
                  <w:pPr>
                    <w:pStyle w:val="Sinespaciado"/>
                  </w:pPr>
                </w:p>
              </w:txbxContent>
            </v:textbox>
          </v:shape>
        </w:pict>
      </w:r>
    </w:p>
    <w:p w:rsidR="00933826" w:rsidRPr="00B30540" w:rsidRDefault="00050BF1" w:rsidP="00933826">
      <w:r>
        <w:rPr>
          <w:noProof/>
          <w:lang w:eastAsia="es-SV"/>
        </w:rPr>
        <w:pict>
          <v:shape id="_x0000_s1076" type="#_x0000_t21" style="position:absolute;margin-left:405.85pt;margin-top:20.7pt;width:91.5pt;height:60.05pt;z-index:251711488" adj="1781" fillcolor="white [3201]" strokecolor="#4f81bd [3204]" strokeweight="2.5pt">
            <v:shadow color="#868686"/>
            <v:textbox>
              <w:txbxContent>
                <w:p w:rsidR="00933826" w:rsidRDefault="00050BF1" w:rsidP="00933826">
                  <w:pPr>
                    <w:pStyle w:val="Sinespaciado"/>
                  </w:pPr>
                  <w:r>
                    <w:t xml:space="preserve">Del pago y la retención del impuesto </w:t>
                  </w:r>
                </w:p>
              </w:txbxContent>
            </v:textbox>
          </v:shape>
        </w:pict>
      </w:r>
    </w:p>
    <w:p w:rsidR="00933826" w:rsidRPr="00B30540" w:rsidRDefault="0081487D" w:rsidP="00933826">
      <w:r>
        <w:rPr>
          <w:noProof/>
          <w:lang w:eastAsia="es-SV"/>
        </w:rPr>
        <w:pict>
          <v:shape id="_x0000_s1110" type="#_x0000_t34" style="position:absolute;margin-left:495.5pt;margin-top:42pt;width:106.35pt;height:36.3pt;rotation:90;flip:x;z-index:251744256" o:connectortype="elbow" adj="10795,207223,-115068">
            <v:stroke endarrow="block"/>
          </v:shape>
        </w:pict>
      </w:r>
      <w:r>
        <w:rPr>
          <w:noProof/>
          <w:lang w:eastAsia="es-SV"/>
        </w:rPr>
        <w:pict>
          <v:shape id="_x0000_s1087" type="#_x0000_t32" style="position:absolute;margin-left:497.35pt;margin-top:18.8pt;width:33.2pt;height:.05pt;flip:x;z-index:251722752" o:connectortype="straight">
            <v:stroke endarrow="block"/>
          </v:shape>
        </w:pict>
      </w:r>
      <w:r w:rsidR="00DD1B72">
        <w:rPr>
          <w:noProof/>
          <w:lang w:eastAsia="es-SV"/>
        </w:rPr>
        <w:pict>
          <v:shape id="_x0000_s1035" type="#_x0000_t21" style="position:absolute;margin-left:255.1pt;margin-top:14.1pt;width:128.45pt;height:27.1pt;z-index:251669504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>
              <w:txbxContent>
                <w:p w:rsidR="00933826" w:rsidRDefault="00DD1B72" w:rsidP="00933826">
                  <w:pPr>
                    <w:pStyle w:val="Sinespaciado"/>
                  </w:pPr>
                  <w:r>
                    <w:t xml:space="preserve">Calculo del impuesto </w:t>
                  </w:r>
                  <w:r w:rsidR="00933826">
                    <w:t xml:space="preserve"> </w:t>
                  </w:r>
                </w:p>
              </w:txbxContent>
            </v:textbox>
          </v:shape>
        </w:pict>
      </w:r>
    </w:p>
    <w:p w:rsidR="00933826" w:rsidRPr="00B30540" w:rsidRDefault="00DD1B72" w:rsidP="00933826">
      <w:r>
        <w:rPr>
          <w:noProof/>
          <w:lang w:eastAsia="es-SV"/>
        </w:rPr>
        <w:pict>
          <v:shape id="_x0000_s1095" type="#_x0000_t32" style="position:absolute;margin-left:272.95pt;margin-top:15.75pt;width:0;height:18.35pt;z-index:251730944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43" type="#_x0000_t32" style="position:absolute;margin-left:222.95pt;margin-top:.35pt;width:32.15pt;height:.05pt;z-index:251677696" o:connectortype="straight">
            <v:stroke endarrow="block"/>
          </v:shape>
        </w:pict>
      </w:r>
      <w:r w:rsidR="008E52AA">
        <w:rPr>
          <w:noProof/>
          <w:lang w:eastAsia="es-SV"/>
        </w:rPr>
        <w:pict>
          <v:shape id="_x0000_s1097" type="#_x0000_t21" style="position:absolute;margin-left:15.75pt;margin-top:7.3pt;width:126.55pt;height:46.35pt;z-index:251731968" fillcolor="#95b3d7 [1940]" strokecolor="#95b3d7 [1940]" strokeweight="1pt">
            <v:fill color2="#dbe5f1 [660]" angle="-45" focusposition="1" focussize="" focus="-50%" type="gradient"/>
            <v:shadow on="t" type="perspective" color="#243f60 [1604]" opacity=".5" offset="1pt" offset2="-3pt"/>
            <v:textbox>
              <w:txbxContent>
                <w:p w:rsidR="008E52AA" w:rsidRDefault="008E52AA" w:rsidP="008E52AA">
                  <w:pPr>
                    <w:jc w:val="center"/>
                  </w:pPr>
                  <w:r>
                    <w:t>Determinación de la renta obtenida</w:t>
                  </w:r>
                </w:p>
              </w:txbxContent>
            </v:textbox>
          </v:shape>
        </w:pict>
      </w:r>
    </w:p>
    <w:p w:rsidR="00933826" w:rsidRPr="00B30540" w:rsidRDefault="0081487D" w:rsidP="00933826">
      <w:r>
        <w:rPr>
          <w:noProof/>
          <w:lang w:eastAsia="es-SV"/>
        </w:rPr>
        <w:pict>
          <v:shape id="_x0000_s1104" type="#_x0000_t21" style="position:absolute;margin-left:597.8pt;margin-top:9.5pt;width:76.5pt;height:26.5pt;z-index:251739136" fillcolor="white [3201]" strokecolor="#4f81bd [3204]" strokeweight="2.5pt">
            <v:shadow color="#868686"/>
            <v:textbox>
              <w:txbxContent>
                <w:p w:rsidR="00845C47" w:rsidRDefault="00845C47" w:rsidP="00845C47">
                  <w:pPr>
                    <w:pStyle w:val="Sinespaciado"/>
                  </w:pPr>
                  <w:r>
                    <w:t xml:space="preserve">Percepción </w:t>
                  </w:r>
                </w:p>
              </w:txbxContent>
            </v:textbox>
          </v:shape>
        </w:pict>
      </w:r>
      <w:r>
        <w:rPr>
          <w:noProof/>
          <w:lang w:eastAsia="es-SV"/>
        </w:rPr>
        <w:pict>
          <v:shape id="_x0000_s1111" type="#_x0000_t32" style="position:absolute;margin-left:574.85pt;margin-top:23.95pt;width:22.95pt;height:0;z-index:25174528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14" type="#_x0000_t32" style="position:absolute;margin-left:447.05pt;margin-top:4.4pt;width:0;height:13.6pt;z-index:251748352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03" type="#_x0000_t21" style="position:absolute;margin-left:413.05pt;margin-top:18pt;width:127.15pt;height:179.3pt;z-index:251738112" adj="1695" fillcolor="white [3201]" strokecolor="#4f81bd [3204]" strokeweight="1pt">
            <v:stroke dashstyle="dash"/>
            <v:shadow color="#868686"/>
            <v:textbox style="mso-next-textbox:#_x0000_s1103">
              <w:txbxContent>
                <w:p w:rsidR="00050BF1" w:rsidRDefault="00050BF1" w:rsidP="00050BF1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Lugar del pago </w:t>
                  </w:r>
                </w:p>
                <w:p w:rsidR="00050BF1" w:rsidRDefault="00050BF1" w:rsidP="00050BF1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>Pago</w:t>
                  </w:r>
                </w:p>
                <w:p w:rsidR="00050BF1" w:rsidRDefault="00050BF1" w:rsidP="00050BF1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>Pago presunto</w:t>
                  </w:r>
                </w:p>
                <w:p w:rsidR="00050BF1" w:rsidRDefault="00050BF1" w:rsidP="00050BF1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La retención en remuneraciones </w:t>
                  </w:r>
                </w:p>
                <w:p w:rsidR="00050BF1" w:rsidRDefault="00050BF1" w:rsidP="00050BF1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Retención sobre rentas en especie </w:t>
                  </w:r>
                </w:p>
                <w:p w:rsidR="00050BF1" w:rsidRDefault="00050BF1" w:rsidP="00050BF1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Plazo para enterar lo retenido </w:t>
                  </w:r>
                </w:p>
                <w:p w:rsidR="00845C47" w:rsidRDefault="00845C47" w:rsidP="00050BF1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Concepto de servicio permanente </w:t>
                  </w:r>
                </w:p>
                <w:p w:rsidR="00845C47" w:rsidRDefault="00845C47" w:rsidP="00050BF1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Tablas de retención  </w:t>
                  </w:r>
                </w:p>
              </w:txbxContent>
            </v:textbox>
          </v:shape>
        </w:pict>
      </w:r>
      <w:r w:rsidR="00DD1B72">
        <w:rPr>
          <w:noProof/>
          <w:lang w:eastAsia="es-SV"/>
        </w:rPr>
        <w:pict>
          <v:shape id="_x0000_s1075" type="#_x0000_t21" style="position:absolute;margin-left:242.35pt;margin-top:8.65pt;width:158.65pt;height:174.3pt;z-index:251710464" adj="1287" fillcolor="white [3201]" strokecolor="#4f81bd [3204]" strokeweight="2.5pt">
            <v:shadow color="#868686"/>
            <v:textbox style="mso-next-textbox:#_x0000_s1075">
              <w:txbxContent>
                <w:p w:rsidR="00933826" w:rsidRDefault="00DD1B72" w:rsidP="00050BF1">
                  <w:pPr>
                    <w:pStyle w:val="Sinespaciado"/>
                    <w:numPr>
                      <w:ilvl w:val="0"/>
                      <w:numId w:val="6"/>
                    </w:numPr>
                    <w:ind w:left="284"/>
                    <w:jc w:val="both"/>
                  </w:pPr>
                  <w:r>
                    <w:t xml:space="preserve">Persona natural </w:t>
                  </w:r>
                </w:p>
                <w:p w:rsidR="00DD1B72" w:rsidRDefault="00DD1B72" w:rsidP="00050BF1">
                  <w:pPr>
                    <w:pStyle w:val="Sinespaciado"/>
                    <w:numPr>
                      <w:ilvl w:val="0"/>
                      <w:numId w:val="6"/>
                    </w:numPr>
                    <w:ind w:left="284"/>
                    <w:jc w:val="both"/>
                  </w:pPr>
                  <w:r>
                    <w:t xml:space="preserve">Sucesiones </w:t>
                  </w:r>
                </w:p>
                <w:p w:rsidR="00DD1B72" w:rsidRDefault="00DD1B72" w:rsidP="00050BF1">
                  <w:pPr>
                    <w:pStyle w:val="Sinespaciado"/>
                    <w:numPr>
                      <w:ilvl w:val="0"/>
                      <w:numId w:val="6"/>
                    </w:numPr>
                    <w:ind w:left="284"/>
                    <w:jc w:val="both"/>
                  </w:pPr>
                  <w:r>
                    <w:t>Fideicomiso</w:t>
                  </w:r>
                </w:p>
                <w:p w:rsidR="00DD1B72" w:rsidRDefault="00DD1B72" w:rsidP="00050BF1">
                  <w:pPr>
                    <w:pStyle w:val="Sinespaciado"/>
                    <w:numPr>
                      <w:ilvl w:val="0"/>
                      <w:numId w:val="6"/>
                    </w:numPr>
                    <w:ind w:left="284"/>
                    <w:jc w:val="both"/>
                  </w:pPr>
                  <w:r>
                    <w:t>Calculo del impuesto de personas naturales, sucesiones y fideicomisos</w:t>
                  </w:r>
                </w:p>
                <w:p w:rsidR="00DD1B72" w:rsidRDefault="00DD1B72" w:rsidP="00050BF1">
                  <w:pPr>
                    <w:pStyle w:val="Sinespaciado"/>
                    <w:numPr>
                      <w:ilvl w:val="0"/>
                      <w:numId w:val="6"/>
                    </w:numPr>
                    <w:ind w:left="284"/>
                    <w:jc w:val="both"/>
                  </w:pPr>
                  <w:r>
                    <w:t xml:space="preserve">Asalariados </w:t>
                  </w:r>
                </w:p>
                <w:p w:rsidR="00DD1B72" w:rsidRDefault="00DD1B72" w:rsidP="00050BF1">
                  <w:pPr>
                    <w:pStyle w:val="Sinespaciado"/>
                    <w:numPr>
                      <w:ilvl w:val="0"/>
                      <w:numId w:val="6"/>
                    </w:numPr>
                    <w:ind w:left="284"/>
                    <w:jc w:val="both"/>
                  </w:pPr>
                  <w:r>
                    <w:t xml:space="preserve">Rentas diversas </w:t>
                  </w:r>
                </w:p>
                <w:p w:rsidR="00DD1B72" w:rsidRDefault="00DD1B72" w:rsidP="00050BF1">
                  <w:pPr>
                    <w:pStyle w:val="Sinespaciado"/>
                    <w:numPr>
                      <w:ilvl w:val="0"/>
                      <w:numId w:val="6"/>
                    </w:numPr>
                    <w:ind w:left="284"/>
                    <w:jc w:val="both"/>
                  </w:pPr>
                  <w:r>
                    <w:t>Conjuntos</w:t>
                  </w:r>
                </w:p>
                <w:p w:rsidR="00DD1B72" w:rsidRDefault="00DD1B72" w:rsidP="00050BF1">
                  <w:pPr>
                    <w:pStyle w:val="Sinespaciado"/>
                    <w:numPr>
                      <w:ilvl w:val="0"/>
                      <w:numId w:val="6"/>
                    </w:numPr>
                    <w:ind w:left="284"/>
                    <w:jc w:val="both"/>
                  </w:pPr>
                  <w:r>
                    <w:t>Personas jurídicas</w:t>
                  </w:r>
                </w:p>
                <w:p w:rsidR="00DD1B72" w:rsidRPr="00F80DC0" w:rsidRDefault="00DD1B72" w:rsidP="00050BF1">
                  <w:pPr>
                    <w:pStyle w:val="Sinespaciado"/>
                    <w:numPr>
                      <w:ilvl w:val="0"/>
                      <w:numId w:val="6"/>
                    </w:numPr>
                    <w:ind w:left="284"/>
                    <w:jc w:val="both"/>
                  </w:pPr>
                  <w:r>
                    <w:t xml:space="preserve">Ganancias de capital </w:t>
                  </w:r>
                </w:p>
              </w:txbxContent>
            </v:textbox>
          </v:shape>
        </w:pict>
      </w:r>
      <w:r w:rsidR="008E52AA">
        <w:rPr>
          <w:noProof/>
          <w:lang w:eastAsia="es-SV"/>
        </w:rPr>
        <w:pict>
          <v:shape id="_x0000_s1100" type="#_x0000_t32" style="position:absolute;margin-left:-.2pt;margin-top:4.4pt;width:16.8pt;height:0;z-index:251735040" o:connectortype="straight">
            <v:stroke endarrow="block"/>
          </v:shape>
        </w:pict>
      </w:r>
    </w:p>
    <w:p w:rsidR="00933826" w:rsidRPr="00B30540" w:rsidRDefault="0081487D" w:rsidP="00933826">
      <w:r>
        <w:rPr>
          <w:noProof/>
          <w:lang w:eastAsia="es-SV"/>
        </w:rPr>
        <w:pict>
          <v:shape id="_x0000_s1106" type="#_x0000_t21" style="position:absolute;margin-left:576.6pt;margin-top:21.8pt;width:138.15pt;height:41.6pt;z-index:251740160" fillcolor="white [3201]" strokecolor="#4f81bd [3204]" strokeweight="2.5pt">
            <v:shadow color="#868686"/>
            <v:textbox>
              <w:txbxContent>
                <w:p w:rsidR="00845C47" w:rsidRDefault="00845C47" w:rsidP="00845C47">
                  <w:pPr>
                    <w:pStyle w:val="Sinespaciado"/>
                  </w:pPr>
                  <w:r>
                    <w:t xml:space="preserve">Pago mínimo del impuesto sobre la renta </w:t>
                  </w:r>
                </w:p>
              </w:txbxContent>
            </v:textbox>
          </v:shape>
        </w:pict>
      </w:r>
      <w:r w:rsidR="008E52AA">
        <w:rPr>
          <w:noProof/>
          <w:lang w:eastAsia="es-SV"/>
        </w:rPr>
        <w:pict>
          <v:shape id="_x0000_s1099" type="#_x0000_t32" style="position:absolute;margin-left:29.1pt;margin-top:5.45pt;width:0;height:23.15pt;z-index:251734016" o:connectortype="straight">
            <v:stroke endarrow="block"/>
          </v:shape>
        </w:pict>
      </w:r>
      <w:r w:rsidR="008E52AA">
        <w:rPr>
          <w:noProof/>
          <w:lang w:eastAsia="es-SV"/>
        </w:rPr>
        <w:pict>
          <v:shape id="_x0000_s1098" type="#_x0000_t21" style="position:absolute;margin-left:26.3pt;margin-top:18.9pt;width:200.05pt;height:152.95pt;z-index:251732992" adj="1170" fillcolor="white [3201]" strokecolor="#4f81bd [3204]" strokeweight="2.5pt">
            <v:shadow color="#868686"/>
            <v:textbox>
              <w:txbxContent>
                <w:p w:rsidR="008E52AA" w:rsidRDefault="008E52AA" w:rsidP="008E52AA">
                  <w:pPr>
                    <w:pStyle w:val="Sinespaciado"/>
                  </w:pPr>
                  <w:r>
                    <w:t xml:space="preserve">Determinación de la renta obtenida </w:t>
                  </w:r>
                </w:p>
                <w:p w:rsidR="008E52AA" w:rsidRDefault="008E52AA" w:rsidP="008E52AA">
                  <w:pPr>
                    <w:pStyle w:val="Sinespaciado"/>
                  </w:pPr>
                  <w:r>
                    <w:t xml:space="preserve">Ejercicios de imposición </w:t>
                  </w:r>
                </w:p>
                <w:p w:rsidR="008E52AA" w:rsidRDefault="008E52AA" w:rsidP="008E52AA">
                  <w:pPr>
                    <w:pStyle w:val="Sinespaciado"/>
                  </w:pPr>
                  <w:r>
                    <w:t>Ganancia de capital</w:t>
                  </w:r>
                </w:p>
                <w:p w:rsidR="008E52AA" w:rsidRDefault="008E52AA" w:rsidP="008E52AA">
                  <w:pPr>
                    <w:pStyle w:val="Sinespaciado"/>
                  </w:pPr>
                  <w:r>
                    <w:t xml:space="preserve">Rentas provenientes de títulos valores </w:t>
                  </w:r>
                </w:p>
                <w:p w:rsidR="008E52AA" w:rsidRDefault="008E52AA" w:rsidP="008E52AA">
                  <w:pPr>
                    <w:pStyle w:val="Sinespaciado"/>
                  </w:pPr>
                  <w:r>
                    <w:t xml:space="preserve">Rentas obtenidas en El Salvador </w:t>
                  </w:r>
                </w:p>
                <w:p w:rsidR="008E52AA" w:rsidRDefault="008E52AA" w:rsidP="008E52AA">
                  <w:pPr>
                    <w:pStyle w:val="Sinespaciado"/>
                  </w:pPr>
                  <w:r>
                    <w:t xml:space="preserve">Personas naturales </w:t>
                  </w:r>
                </w:p>
                <w:p w:rsidR="008E52AA" w:rsidRDefault="008E52AA" w:rsidP="008E52AA">
                  <w:pPr>
                    <w:pStyle w:val="Sinespaciado"/>
                  </w:pPr>
                  <w:r>
                    <w:t xml:space="preserve">Rentas de usufructo legal </w:t>
                  </w:r>
                </w:p>
                <w:p w:rsidR="008E52AA" w:rsidRDefault="008E52AA" w:rsidP="008E52AA">
                  <w:pPr>
                    <w:pStyle w:val="Sinespaciado"/>
                  </w:pPr>
                  <w:r>
                    <w:t xml:space="preserve">Sucesiones </w:t>
                  </w:r>
                </w:p>
                <w:p w:rsidR="008E52AA" w:rsidRDefault="008E52AA" w:rsidP="008E52AA">
                  <w:pPr>
                    <w:pStyle w:val="Sinespaciado"/>
                  </w:pPr>
                  <w:r>
                    <w:t>Fideicomisos</w:t>
                  </w:r>
                </w:p>
                <w:p w:rsidR="008E52AA" w:rsidRDefault="008E52AA" w:rsidP="008E52AA">
                  <w:pPr>
                    <w:pStyle w:val="Sinespaciado"/>
                  </w:pPr>
                  <w:r>
                    <w:t xml:space="preserve">Personas jurídicas </w:t>
                  </w:r>
                </w:p>
                <w:p w:rsidR="008E52AA" w:rsidRDefault="008E52AA" w:rsidP="008E52AA">
                  <w:pPr>
                    <w:pStyle w:val="Sinespaciado"/>
                  </w:pPr>
                </w:p>
                <w:p w:rsidR="008E52AA" w:rsidRDefault="008E52AA" w:rsidP="008E52AA">
                  <w:pPr>
                    <w:pStyle w:val="Sinespaciado"/>
                  </w:pPr>
                </w:p>
                <w:p w:rsidR="008E52AA" w:rsidRDefault="008E52AA" w:rsidP="008E52AA">
                  <w:pPr>
                    <w:pStyle w:val="Sinespaciado"/>
                  </w:pPr>
                </w:p>
                <w:p w:rsidR="008E52AA" w:rsidRDefault="008E52AA" w:rsidP="008E52AA">
                  <w:pPr>
                    <w:pStyle w:val="Sinespaciado"/>
                  </w:pPr>
                </w:p>
              </w:txbxContent>
            </v:textbox>
          </v:shape>
        </w:pict>
      </w:r>
    </w:p>
    <w:p w:rsidR="00933826" w:rsidRPr="00B30540" w:rsidRDefault="0081487D" w:rsidP="00933826">
      <w:r>
        <w:rPr>
          <w:noProof/>
          <w:lang w:eastAsia="es-SV"/>
        </w:rPr>
        <w:pict>
          <v:shape id="_x0000_s1127" type="#_x0000_t32" style="position:absolute;margin-left:566.85pt;margin-top:11.55pt;width:10.6pt;height:0;z-index:251760640" o:connectortype="straight">
            <v:stroke endarrow="block"/>
          </v:shape>
        </w:pict>
      </w:r>
    </w:p>
    <w:p w:rsidR="00933826" w:rsidRPr="00B30540" w:rsidRDefault="0081487D" w:rsidP="00933826">
      <w:r>
        <w:rPr>
          <w:noProof/>
          <w:lang w:eastAsia="es-SV"/>
        </w:rPr>
        <w:pict>
          <v:shape id="_x0000_s1107" type="#_x0000_t21" style="position:absolute;margin-left:557.6pt;margin-top:22.9pt;width:173.3pt;height:96.4pt;z-index:251741184" adj="1695" fillcolor="white [3201]" strokecolor="#4f81bd [3204]" strokeweight="1pt">
            <v:stroke dashstyle="dash"/>
            <v:shadow color="#868686"/>
            <v:textbox style="mso-next-textbox:#_x0000_s1107">
              <w:txbxContent>
                <w:p w:rsidR="00845C47" w:rsidRDefault="00845C47" w:rsidP="00845C47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Sujetos pasivos y hecho imponible </w:t>
                  </w:r>
                </w:p>
                <w:p w:rsidR="00845C47" w:rsidRDefault="00845C47" w:rsidP="00845C47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Base imponible, alícuota del impuesto y exclusiones </w:t>
                  </w:r>
                </w:p>
                <w:p w:rsidR="00845C47" w:rsidRDefault="00845C47" w:rsidP="00845C47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>Sujeto exentos al pago mínimo definitivo</w:t>
                  </w:r>
                </w:p>
              </w:txbxContent>
            </v:textbox>
          </v:shape>
        </w:pict>
      </w:r>
      <w:r>
        <w:rPr>
          <w:noProof/>
          <w:lang w:eastAsia="es-SV"/>
        </w:rPr>
        <w:pict>
          <v:shape id="_x0000_s1112" type="#_x0000_t32" style="position:absolute;margin-left:632.1pt;margin-top:11.7pt;width:0;height:12.05pt;z-index:251746304" o:connectortype="straight">
            <v:stroke endarrow="block"/>
          </v:shape>
        </w:pict>
      </w:r>
    </w:p>
    <w:p w:rsidR="00933826" w:rsidRPr="00B30540" w:rsidRDefault="00933826" w:rsidP="00933826"/>
    <w:p w:rsidR="00933826" w:rsidRPr="00B30540" w:rsidRDefault="00933826" w:rsidP="00933826">
      <w:pPr>
        <w:tabs>
          <w:tab w:val="left" w:pos="8591"/>
        </w:tabs>
      </w:pPr>
      <w:r>
        <w:tab/>
      </w:r>
    </w:p>
    <w:p w:rsidR="00BE2CBA" w:rsidRDefault="00933826" w:rsidP="00933826">
      <w:pPr>
        <w:tabs>
          <w:tab w:val="left" w:pos="8087"/>
        </w:tabs>
      </w:pPr>
      <w:r>
        <w:tab/>
      </w:r>
    </w:p>
    <w:sectPr w:rsidR="00BE2CBA" w:rsidSect="003102D5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F3FE6"/>
    <w:multiLevelType w:val="hybridMultilevel"/>
    <w:tmpl w:val="4E5EEE3C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65A76"/>
    <w:multiLevelType w:val="hybridMultilevel"/>
    <w:tmpl w:val="5D7CE492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E2C58"/>
    <w:multiLevelType w:val="hybridMultilevel"/>
    <w:tmpl w:val="E236C33C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AC6B34"/>
    <w:multiLevelType w:val="hybridMultilevel"/>
    <w:tmpl w:val="FDBCD906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BE1450"/>
    <w:multiLevelType w:val="hybridMultilevel"/>
    <w:tmpl w:val="E304BB22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F93F4E"/>
    <w:multiLevelType w:val="hybridMultilevel"/>
    <w:tmpl w:val="A1B08A8C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F31B4"/>
    <w:multiLevelType w:val="hybridMultilevel"/>
    <w:tmpl w:val="250C9FE6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33826"/>
    <w:rsid w:val="00050BF1"/>
    <w:rsid w:val="00535537"/>
    <w:rsid w:val="0081487D"/>
    <w:rsid w:val="00845C47"/>
    <w:rsid w:val="008E52AA"/>
    <w:rsid w:val="00933826"/>
    <w:rsid w:val="00BE2CBA"/>
    <w:rsid w:val="00CA002F"/>
    <w:rsid w:val="00DD1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3"/>
        <o:r id="V:Rule3" type="connector" idref="#_x0000_s1028"/>
        <o:r id="V:Rule5" type="connector" idref="#_x0000_s1032"/>
        <o:r id="V:Rule7" type="connector" idref="#_x0000_s1046"/>
        <o:r id="V:Rule8" type="connector" idref="#_x0000_s1027"/>
        <o:r id="V:Rule9" type="connector" idref="#_x0000_s1039"/>
        <o:r id="V:Rule14" type="connector" idref="#_x0000_s1061"/>
        <o:r id="V:Rule21" type="connector" idref="#_x0000_s1072"/>
        <o:r id="V:Rule22" type="connector" idref="#_x0000_s1073"/>
        <o:r id="V:Rule24" type="connector" idref="#_x0000_s1081"/>
        <o:r id="V:Rule26" type="connector" idref="#_x0000_s1083"/>
        <o:r id="V:Rule30" type="connector" idref="#_x0000_s1087"/>
        <o:r id="V:Rule38" type="connector" idref="#_x0000_s1095"/>
        <o:r id="V:Rule39" type="connector" idref="#_x0000_s1099"/>
        <o:r id="V:Rule41" type="connector" idref="#_x0000_s1100"/>
        <o:r id="V:Rule43" type="connector" idref="#_x0000_s1102"/>
        <o:r id="V:Rule45" type="connector" idref="#_x0000_s1109"/>
        <o:r id="V:Rule47" type="connector" idref="#_x0000_s1110"/>
        <o:r id="V:Rule49" type="connector" idref="#_x0000_s1111"/>
        <o:r id="V:Rule51" type="connector" idref="#_x0000_s1112"/>
        <o:r id="V:Rule53" type="connector" idref="#_x0000_s1113"/>
        <o:r id="V:Rule55" type="connector" idref="#_x0000_s1114"/>
        <o:r id="V:Rule61" type="connector" idref="#_x0000_s1121"/>
        <o:r id="V:Rule63" type="connector" idref="#_x0000_s1122"/>
        <o:r id="V:Rule65" type="connector" idref="#_x0000_s1123"/>
        <o:r id="V:Rule67" type="connector" idref="#_x0000_s1124"/>
        <o:r id="V:Rule69" type="connector" idref="#_x0000_s1125"/>
        <o:r id="V:Rule71" type="connector" idref="#_x0000_s1126"/>
        <o:r id="V:Rule73" type="connector" idref="#_x0000_s11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8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38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</dc:creator>
  <cp:lastModifiedBy>Elisa</cp:lastModifiedBy>
  <cp:revision>1</cp:revision>
  <dcterms:created xsi:type="dcterms:W3CDTF">2013-10-11T05:00:00Z</dcterms:created>
  <dcterms:modified xsi:type="dcterms:W3CDTF">2013-10-11T06:04:00Z</dcterms:modified>
</cp:coreProperties>
</file>