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D5" w:rsidRDefault="003102D5" w:rsidP="003102D5">
      <w:pPr>
        <w:tabs>
          <w:tab w:val="left" w:pos="9594"/>
        </w:tabs>
      </w:pPr>
      <w:r>
        <w:rPr>
          <w:noProof/>
          <w:lang w:eastAsia="es-SV"/>
        </w:rPr>
        <w:pict>
          <v:oval id="_x0000_s1095" style="position:absolute;margin-left:-21.75pt;margin-top:.3pt;width:183.1pt;height:32.5pt;z-index:251674624" fillcolor="white [3201]" strokecolor="#9bbb59 [3206]" strokeweight="5pt">
            <v:stroke linestyle="thickThin"/>
            <v:shadow color="#868686"/>
            <v:textbox style="mso-next-textbox:#_x0000_s1095">
              <w:txbxContent>
                <w:p w:rsidR="003102D5" w:rsidRPr="001A492F" w:rsidRDefault="003102D5" w:rsidP="003102D5">
                  <w:pPr>
                    <w:pStyle w:val="Sinespaciado"/>
                    <w:jc w:val="center"/>
                    <w:rPr>
                      <w:b/>
                    </w:rPr>
                  </w:pPr>
                  <w:r>
                    <w:rPr>
                      <w:b/>
                      <w:u w:val="single"/>
                    </w:rPr>
                    <w:t>CODIGO TRIBUTARIO</w:t>
                  </w:r>
                </w:p>
              </w:txbxContent>
            </v:textbox>
          </v:oval>
        </w:pict>
      </w:r>
    </w:p>
    <w:p w:rsidR="003102D5" w:rsidRDefault="00F14510" w:rsidP="003102D5">
      <w:pPr>
        <w:jc w:val="right"/>
      </w:pPr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left:0;text-align:left;margin-left:-.85pt;margin-top:.25pt;width:0;height:279.75pt;z-index:251669504" o:connectortype="straight"/>
        </w:pict>
      </w:r>
      <w:r>
        <w:rPr>
          <w:noProof/>
          <w:lang w:eastAsia="es-SV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33" type="#_x0000_t34" style="position:absolute;left:0;text-align:left;margin-left:146.5pt;margin-top:.25pt;width:423.65pt;height:16.9pt;z-index:251713536" o:connectortype="elbow" adj="12078,-78859,-9305">
            <v:stroke endarrow="block"/>
          </v:shape>
        </w:pict>
      </w:r>
      <w:r>
        <w:rPr>
          <w:noProof/>
          <w:lang w:eastAsia="es-SV"/>
        </w:rPr>
        <w:pict>
          <v:shape id="_x0000_s1182" type="#_x0000_t32" style="position:absolute;left:0;text-align:left;margin-left:570.15pt;margin-top:17.15pt;width:0;height:210.15pt;z-index:251760640" o:connectortype="straight"/>
        </w:pict>
      </w:r>
      <w:r>
        <w:rPr>
          <w:noProof/>
          <w:lang w:eastAsia="es-SV"/>
        </w:rPr>
        <w:pict>
          <v:shape id="_x0000_s1135" type="#_x0000_t32" style="position:absolute;left:0;text-align:left;margin-left:435.1pt;margin-top:17.15pt;width:.05pt;height:16.85pt;z-index:25171558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4" type="#_x0000_t32" style="position:absolute;left:0;text-align:left;margin-left:232.4pt;margin-top:.25pt;width:.05pt;height:16.9pt;z-index:251714560" o:connectortype="straight">
            <v:stroke endarrow="block"/>
          </v:shape>
        </w:pict>
      </w:r>
      <w:r w:rsidR="006817DF">
        <w:rPr>
          <w:noProof/>
          <w:lang w:eastAsia="es-SV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88" type="#_x0000_t21" style="position:absolute;left:0;text-align:left;margin-left:201.65pt;margin-top:17.15pt;width:140.45pt;height:46.35pt;z-index:251667456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3102D5" w:rsidRDefault="006817DF" w:rsidP="003102D5">
                  <w:pPr>
                    <w:jc w:val="center"/>
                  </w:pPr>
                  <w:r>
                    <w:t xml:space="preserve">Deberes y obligaciones tributarias </w:t>
                  </w:r>
                </w:p>
              </w:txbxContent>
            </v:textbox>
          </v:shape>
        </w:pict>
      </w:r>
    </w:p>
    <w:p w:rsidR="003102D5" w:rsidRPr="001F3509" w:rsidRDefault="00F14510" w:rsidP="003102D5">
      <w:pPr>
        <w:jc w:val="right"/>
      </w:pPr>
      <w:r>
        <w:rPr>
          <w:noProof/>
          <w:lang w:eastAsia="es-SV"/>
        </w:rPr>
        <w:pict>
          <v:shape id="_x0000_s1092" type="#_x0000_t32" style="position:absolute;left:0;text-align:left;margin-left:570.15pt;margin-top:18.15pt;width:14.35pt;height:0;z-index:2516715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07" type="#_x0000_t21" style="position:absolute;left:0;text-align:left;margin-left:584.5pt;margin-top:4.1pt;width:142.3pt;height:29.05pt;z-index:251686912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3102D5" w:rsidRDefault="00F14510" w:rsidP="003102D5">
                  <w:pPr>
                    <w:pStyle w:val="Sinespaciado"/>
                    <w:jc w:val="center"/>
                  </w:pPr>
                  <w:r>
                    <w:t xml:space="preserve">De la deuda tributaria </w:t>
                  </w:r>
                </w:p>
              </w:txbxContent>
            </v:textbox>
          </v:shape>
        </w:pict>
      </w:r>
      <w:r w:rsidR="00E714DD">
        <w:rPr>
          <w:noProof/>
          <w:lang w:eastAsia="es-SV"/>
        </w:rPr>
        <w:pict>
          <v:shape id="_x0000_s1089" type="#_x0000_t21" style="position:absolute;left:0;text-align:left;margin-left:378.65pt;margin-top:7.2pt;width:150.9pt;height:25.4pt;z-index:251668480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3102D5" w:rsidRDefault="000726D4" w:rsidP="003102D5">
                  <w:pPr>
                    <w:pStyle w:val="Sinespaciado"/>
                    <w:jc w:val="center"/>
                  </w:pPr>
                  <w:r>
                    <w:t>Procedimientos tributarios</w:t>
                  </w:r>
                </w:p>
              </w:txbxContent>
            </v:textbox>
          </v:shape>
        </w:pict>
      </w:r>
      <w:r w:rsidR="0066632F">
        <w:rPr>
          <w:noProof/>
          <w:lang w:eastAsia="es-SV"/>
        </w:rPr>
        <w:pict>
          <v:shape id="_x0000_s1083" type="#_x0000_t32" style="position:absolute;left:0;text-align:left;margin-left:-.2pt;margin-top:18.15pt;width:11.1pt;height:0;z-index:251658240" o:connectortype="straight">
            <v:stroke endarrow="block"/>
          </v:shape>
        </w:pict>
      </w:r>
      <w:r w:rsidR="0066632F">
        <w:rPr>
          <w:noProof/>
          <w:lang w:eastAsia="es-SV"/>
        </w:rPr>
        <w:pict>
          <v:shape id="_x0000_s1081" type="#_x0000_t21" style="position:absolute;left:0;text-align:left;margin-left:10.9pt;margin-top:4.1pt;width:128.9pt;height:27.6pt;z-index:251658240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3102D5" w:rsidRDefault="003102D5" w:rsidP="003102D5">
                  <w:r>
                    <w:t xml:space="preserve">Disposiciones Generales </w:t>
                  </w:r>
                </w:p>
              </w:txbxContent>
            </v:textbox>
          </v:shape>
        </w:pict>
      </w:r>
    </w:p>
    <w:p w:rsidR="003102D5" w:rsidRDefault="00F14510" w:rsidP="003102D5">
      <w:r>
        <w:rPr>
          <w:noProof/>
          <w:lang w:eastAsia="es-SV"/>
        </w:rPr>
        <w:pict>
          <v:shape id="_x0000_s1143" type="#_x0000_t32" style="position:absolute;margin-left:10.9pt;margin-top:.95pt;width:0;height:185.8pt;z-index:251720704" o:connectortype="straight"/>
        </w:pict>
      </w:r>
      <w:r>
        <w:rPr>
          <w:noProof/>
          <w:lang w:eastAsia="es-SV"/>
        </w:rPr>
        <w:pict>
          <v:shape id="_x0000_s1138" type="#_x0000_t21" style="position:absolute;margin-left:20.35pt;margin-top:17.65pt;width:174.7pt;height:59.6pt;z-index:251718656" fillcolor="white [3201]" strokecolor="#9bbb59 [3206]" strokeweight="2.5pt">
            <v:shadow color="#868686"/>
            <v:textbox style="mso-next-textbox:#_x0000_s1138">
              <w:txbxContent>
                <w:p w:rsidR="003102D5" w:rsidRDefault="003102D5" w:rsidP="005A7055">
                  <w:pPr>
                    <w:pStyle w:val="Sinespaciado"/>
                  </w:pPr>
                  <w:r w:rsidRPr="005A7055">
                    <w:rPr>
                      <w:sz w:val="20"/>
                      <w:szCs w:val="20"/>
                    </w:rPr>
                    <w:t>Finalidad, Ámbito de aplicación, Principios generales aplicables, Derechos de los</w:t>
                  </w:r>
                  <w:r>
                    <w:t xml:space="preserve"> administradores.</w:t>
                  </w:r>
                </w:p>
                <w:p w:rsidR="003102D5" w:rsidRDefault="003102D5" w:rsidP="003102D5">
                  <w:pPr>
                    <w:pStyle w:val="Sinespaciad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84" type="#_x0000_t34" style="position:absolute;margin-left:558.8pt;margin-top:42.9pt;width:99.05pt;height:27.6pt;rotation:90;flip:x;z-index:251762688" o:connectortype="elbow" adj="20836,93522,-137505">
            <v:stroke endarrow="block"/>
          </v:shape>
        </w:pict>
      </w:r>
      <w:r>
        <w:rPr>
          <w:noProof/>
          <w:lang w:eastAsia="es-SV"/>
        </w:rPr>
        <w:pict>
          <v:shape id="_x0000_s1174" type="#_x0000_t32" style="position:absolute;margin-left:423.65pt;margin-top:7.7pt;width:0;height:346.85pt;z-index:251752448" o:connectortype="straight"/>
        </w:pict>
      </w:r>
      <w:r w:rsidR="00B54750">
        <w:rPr>
          <w:noProof/>
          <w:lang w:eastAsia="es-SV"/>
        </w:rPr>
        <w:pict>
          <v:shape id="_x0000_s1165" type="#_x0000_t32" style="position:absolute;margin-left:222.95pt;margin-top:12.6pt;width:0;height:280.4pt;z-index:251743232" o:connectortype="straight"/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084" type="#_x0000_t32" style="position:absolute;margin-left:10.9pt;margin-top:23.4pt;width:10.8pt;height:0;z-index:25165824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85" type="#_x0000_t32" style="position:absolute;margin-left:594.55pt;margin-top:19.05pt;width:23.45pt;height:0;z-index:25176371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75" type="#_x0000_t32" style="position:absolute;margin-left:423.65pt;margin-top:19.05pt;width:11.45pt;height:0;z-index:25175347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2" type="#_x0000_t21" style="position:absolute;margin-left:618pt;margin-top:.35pt;width:102.15pt;height:46.4pt;z-index:251692032" fillcolor="white [3201]" strokecolor="#9bbb59 [3206]" strokeweight="2.5pt">
            <v:shadow color="#868686"/>
            <v:textbox style="mso-next-textbox:#_x0000_s1112">
              <w:txbxContent>
                <w:p w:rsidR="003102D5" w:rsidRDefault="00F14510" w:rsidP="003102D5">
                  <w:pPr>
                    <w:pStyle w:val="Sinespaciado"/>
                    <w:jc w:val="center"/>
                  </w:pPr>
                  <w:r>
                    <w:t>Disposiciones generales</w:t>
                  </w:r>
                </w:p>
              </w:txbxContent>
            </v:textbox>
          </v:shape>
        </w:pict>
      </w:r>
      <w:r w:rsidR="00E714DD">
        <w:rPr>
          <w:noProof/>
          <w:lang w:eastAsia="es-SV"/>
        </w:rPr>
        <w:pict>
          <v:shape id="_x0000_s1161" type="#_x0000_t21" style="position:absolute;margin-left:435.1pt;margin-top:6.3pt;width:96.45pt;height:31.55pt;z-index:251739136" fillcolor="white [3201]" strokecolor="#9bbb59 [3206]" strokeweight="2.5pt">
            <v:shadow color="#868686"/>
            <v:textbox>
              <w:txbxContent>
                <w:p w:rsidR="006817DF" w:rsidRDefault="000726D4" w:rsidP="006817DF">
                  <w:pPr>
                    <w:pStyle w:val="Sinespaciado"/>
                    <w:jc w:val="center"/>
                  </w:pPr>
                  <w:r>
                    <w:t xml:space="preserve">Notificaciones </w:t>
                  </w:r>
                </w:p>
              </w:txbxContent>
            </v:textbox>
          </v:shape>
        </w:pict>
      </w:r>
      <w:r w:rsidR="0017552F">
        <w:rPr>
          <w:noProof/>
          <w:lang w:eastAsia="es-SV"/>
        </w:rPr>
        <w:pict>
          <v:shape id="_x0000_s1166" type="#_x0000_t32" style="position:absolute;margin-left:222.95pt;margin-top:19.05pt;width:14.85pt;height:0;z-index:251744256" o:connectortype="straight">
            <v:stroke endarrow="block"/>
          </v:shape>
        </w:pict>
      </w:r>
      <w:r w:rsidR="0017552F">
        <w:rPr>
          <w:noProof/>
          <w:lang w:eastAsia="es-SV"/>
        </w:rPr>
        <w:pict>
          <v:shape id="_x0000_s1164" type="#_x0000_t21" style="position:absolute;margin-left:236.15pt;margin-top:3.75pt;width:137.35pt;height:31.55pt;z-index:251742208" fillcolor="white [3201]" strokecolor="#9bbb59 [3206]" strokeweight="2.5pt">
            <v:shadow color="#868686"/>
            <v:textbox>
              <w:txbxContent>
                <w:p w:rsidR="006817DF" w:rsidRDefault="006817DF" w:rsidP="006817DF">
                  <w:pPr>
                    <w:pStyle w:val="Sinespaciado"/>
                  </w:pPr>
                  <w:r>
                    <w:t xml:space="preserve">Obligaciones formales </w:t>
                  </w:r>
                </w:p>
              </w:txbxContent>
            </v:textbox>
          </v:shape>
        </w:pict>
      </w:r>
      <w:r w:rsidR="0017552F">
        <w:rPr>
          <w:noProof/>
          <w:lang w:eastAsia="es-SV"/>
        </w:rPr>
        <w:pict>
          <v:rect id="_x0000_s1117" style="position:absolute;margin-left:239.45pt;margin-top:46.75pt;width:165.2pt;height:200.1pt;z-index:251697152" fillcolor="white [3201]" strokecolor="#9bbb59 [3206]" strokeweight="2.25pt">
            <v:stroke dashstyle="dash"/>
            <v:shadow color="#868686"/>
            <v:textbox style="mso-next-textbox:#_x0000_s1117">
              <w:txbxContent>
                <w:p w:rsidR="003102D5" w:rsidRDefault="006817DF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Obligados formales</w:t>
                  </w:r>
                </w:p>
                <w:p w:rsidR="006817DF" w:rsidRDefault="006817DF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Registro de contribuyente</w:t>
                  </w:r>
                </w:p>
                <w:p w:rsidR="006817DF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 xml:space="preserve">Lugar para recibir notificaciones </w:t>
                  </w:r>
                </w:p>
                <w:p w:rsidR="00B5475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Declaraciones tributarias</w:t>
                  </w:r>
                </w:p>
                <w:p w:rsidR="00B5475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Emisión de documentos</w:t>
                  </w:r>
                </w:p>
                <w:p w:rsidR="00B5475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Obligación de informar y permitir el control</w:t>
                  </w:r>
                </w:p>
                <w:p w:rsidR="00B5475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>Dictamen e informe fiscal</w:t>
                  </w:r>
                </w:p>
                <w:p w:rsidR="00B5475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 xml:space="preserve">Obligación de llevar contabilidad formal, registros, inventarios y utilización métodos de valuación </w:t>
                  </w:r>
                </w:p>
                <w:p w:rsidR="00B54750" w:rsidRPr="00F80DC0" w:rsidRDefault="00B54750" w:rsidP="000726D4">
                  <w:pPr>
                    <w:pStyle w:val="Sinespaciado"/>
                    <w:numPr>
                      <w:ilvl w:val="0"/>
                      <w:numId w:val="6"/>
                    </w:numPr>
                    <w:ind w:left="142" w:hanging="284"/>
                    <w:jc w:val="both"/>
                  </w:pPr>
                  <w:r>
                    <w:t xml:space="preserve">Otros deberes formales </w:t>
                  </w:r>
                </w:p>
              </w:txbxContent>
            </v:textbox>
          </v:rect>
        </w:pict>
      </w:r>
      <w:r w:rsidR="0017552F">
        <w:rPr>
          <w:noProof/>
          <w:lang w:eastAsia="es-SV"/>
        </w:rPr>
        <w:pict>
          <v:shape id="_x0000_s1167" type="#_x0000_t32" style="position:absolute;margin-left:270.65pt;margin-top:35.3pt;width:0;height:11.45pt;z-index:251745280" o:connectortype="straight">
            <v:stroke endarrow="block"/>
          </v:shape>
        </w:pict>
      </w:r>
    </w:p>
    <w:p w:rsidR="003102D5" w:rsidRPr="00B30540" w:rsidRDefault="00E714DD" w:rsidP="003102D5">
      <w:r>
        <w:rPr>
          <w:noProof/>
          <w:lang w:eastAsia="es-SV"/>
        </w:rPr>
        <w:pict>
          <v:shape id="_x0000_s1160" type="#_x0000_t21" style="position:absolute;margin-left:438.5pt;margin-top:23.8pt;width:91.5pt;height:31.55pt;z-index:251738112" fillcolor="white [3201]" strokecolor="#9bbb59 [3206]" strokeweight="2.5pt">
            <v:shadow color="#868686"/>
            <v:textbox>
              <w:txbxContent>
                <w:p w:rsidR="006817DF" w:rsidRDefault="000726D4" w:rsidP="000726D4">
                  <w:pPr>
                    <w:pStyle w:val="Sinespaciado"/>
                  </w:pPr>
                  <w:r>
                    <w:t xml:space="preserve">Fiscalizaciones 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39" type="#_x0000_t21" style="position:absolute;margin-left:20.85pt;margin-top:13.05pt;width:138.1pt;height:31.55pt;z-index:251719680" fillcolor="white [3201]" strokecolor="#9bbb59 [3206]" strokeweight="2.5pt">
            <v:shadow color="#868686"/>
            <v:textbox>
              <w:txbxContent>
                <w:p w:rsidR="003102D5" w:rsidRDefault="003102D5" w:rsidP="003102D5">
                  <w:pPr>
                    <w:pStyle w:val="Sinespaciado"/>
                    <w:jc w:val="center"/>
                  </w:pPr>
                  <w:r>
                    <w:t xml:space="preserve">Normas tributarias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76" type="#_x0000_t32" style="position:absolute;margin-left:423.65pt;margin-top:13.7pt;width:14.2pt;height:0;z-index:25175449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3" type="#_x0000_t21" style="position:absolute;margin-left:622.15pt;margin-top:8.95pt;width:98pt;height:41.5pt;z-index:251693056" fillcolor="white [3201]" strokecolor="#9bbb59 [3206]" strokeweight="2.5pt">
            <v:shadow color="#868686"/>
            <v:textbox style="mso-next-textbox:#_x0000_s1113">
              <w:txbxContent>
                <w:p w:rsidR="003102D5" w:rsidRDefault="00F14510" w:rsidP="003102D5">
                  <w:pPr>
                    <w:pStyle w:val="Sinespaciado"/>
                  </w:pPr>
                  <w:r>
                    <w:t xml:space="preserve">Cobro de la deuda tributaria 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44" type="#_x0000_t32" style="position:absolute;margin-left:10.9pt;margin-top:2.8pt;width:10.8pt;height:0;z-index:251721728" o:connectortype="straight">
            <v:stroke endarrow="block"/>
          </v:shape>
        </w:pict>
      </w:r>
      <w:r w:rsidR="00E714DD">
        <w:rPr>
          <w:noProof/>
          <w:lang w:eastAsia="es-SV"/>
        </w:rPr>
        <w:pict>
          <v:shape id="_x0000_s1104" type="#_x0000_t21" style="position:absolute;margin-left:437.85pt;margin-top:16.75pt;width:107.35pt;height:41.2pt;z-index:251683840" fillcolor="white [3201]" strokecolor="#9bbb59 [3206]" strokeweight="2.5pt">
            <v:shadow color="#868686"/>
            <v:textbox>
              <w:txbxContent>
                <w:p w:rsidR="003102D5" w:rsidRDefault="0017552F" w:rsidP="003102D5">
                  <w:pPr>
                    <w:pStyle w:val="Sinespaciado"/>
                  </w:pPr>
                  <w:r>
                    <w:t xml:space="preserve">Liquidación de oficio del tributo 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45" type="#_x0000_t32" style="position:absolute;margin-left:10.9pt;margin-top:20.05pt;width:10.8pt;height:0;z-index:2517227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6" type="#_x0000_t21" style="position:absolute;margin-left:23.25pt;margin-top:44.65pt;width:112.35pt;height:31.55pt;z-index:251716608" fillcolor="white [3201]" strokecolor="#9bbb59 [3206]" strokeweight="2.5pt">
            <v:shadow color="#868686"/>
            <v:textbox style="mso-next-textbox:#_x0000_s1136">
              <w:txbxContent>
                <w:p w:rsidR="003102D5" w:rsidRDefault="005A7055" w:rsidP="003102D5">
                  <w:pPr>
                    <w:pStyle w:val="Sinespaciado"/>
                    <w:jc w:val="center"/>
                  </w:pPr>
                  <w:r>
                    <w:t>Tributos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46" type="#_x0000_t32" style="position:absolute;margin-left:10.9pt;margin-top:59.55pt;width:10.8pt;height:0;z-index:25172377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7" type="#_x0000_t21" style="position:absolute;margin-left:23.25pt;margin-top:4.9pt;width:138.1pt;height:31.55pt;z-index:251717632" fillcolor="white [3201]" strokecolor="#9bbb59 [3206]" strokeweight="2.5pt">
            <v:shadow color="#868686"/>
            <v:textbox>
              <w:txbxContent>
                <w:p w:rsidR="003102D5" w:rsidRDefault="005A7055" w:rsidP="003102D5">
                  <w:pPr>
                    <w:pStyle w:val="Sinespaciado"/>
                    <w:jc w:val="center"/>
                  </w:pPr>
                  <w:r>
                    <w:t xml:space="preserve">Términos y plazos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77" type="#_x0000_t32" style="position:absolute;margin-left:423.65pt;margin-top:10.7pt;width:14.2pt;height:0;z-index:25175552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71" type="#_x0000_t21" style="position:absolute;margin-left:584.5pt;margin-top:20.15pt;width:142.3pt;height:45.05pt;z-index:251749376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>
              <w:txbxContent>
                <w:p w:rsidR="00F14510" w:rsidRDefault="00F14510" w:rsidP="00F14510">
                  <w:pPr>
                    <w:pStyle w:val="Sinespaciado"/>
                    <w:jc w:val="center"/>
                  </w:pPr>
                  <w:r>
                    <w:t>Disposiciones transitorias y derogatorias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83" type="#_x0000_t32" style="position:absolute;margin-left:570.15pt;margin-top:23.75pt;width:17.45pt;height:0;z-index:251761664" o:connectortype="straight">
            <v:stroke endarrow="block"/>
          </v:shape>
        </w:pict>
      </w:r>
      <w:r w:rsidR="00E714DD">
        <w:rPr>
          <w:noProof/>
          <w:lang w:eastAsia="es-SV"/>
        </w:rPr>
        <w:pict>
          <v:shape id="_x0000_s1098" type="#_x0000_t21" style="position:absolute;margin-left:438.7pt;margin-top:19.3pt;width:114.35pt;height:31.55pt;z-index:251677696" fillcolor="white [3201]" strokecolor="#9bbb59 [3206]" strokeweight="2.5pt">
            <v:shadow color="#868686"/>
            <v:textbox>
              <w:txbxContent>
                <w:p w:rsidR="003102D5" w:rsidRDefault="0017552F" w:rsidP="0017552F">
                  <w:pPr>
                    <w:pStyle w:val="Sinespaciado"/>
                  </w:pPr>
                  <w:r>
                    <w:t>Régimen probatorio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86" type="#_x0000_t34" style="position:absolute;margin-left:576.25pt;margin-top:51.65pt;width:99.05pt;height:27.6pt;rotation:90;flip:x;z-index:251764736" o:connectortype="elbow" adj="20836,93522,-137505">
            <v:stroke endarrow="block"/>
          </v:shape>
        </w:pict>
      </w:r>
      <w:r>
        <w:rPr>
          <w:noProof/>
          <w:lang w:eastAsia="es-SV"/>
        </w:rPr>
        <w:pict>
          <v:shape id="_x0000_s1187" type="#_x0000_t32" style="position:absolute;margin-left:612pt;margin-top:53.2pt;width:23.45pt;height:0;z-index:25176576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78" type="#_x0000_t32" style="position:absolute;margin-left:423.65pt;margin-top:6.55pt;width:14.2pt;height:0;z-index:251756544" o:connectortype="straight">
            <v:stroke endarrow="block"/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085" type="#_x0000_t21" style="position:absolute;margin-left:14.3pt;margin-top:9.65pt;width:142.95pt;height:32.2pt;z-index:251658240" fillcolor="#c2d69b [1942]" strokecolor="#c2d69b [1942]" strokeweight="1pt">
            <v:fill color2="#eaf1dd [662]" angle="-45" focusposition="1" focussize="" focus="-50%" type="gradient"/>
            <v:shadow on="t" type="perspective" color="#4e6128 [1606]" opacity=".5" offset="1pt" offset2="-3pt"/>
            <v:textbox style="mso-next-textbox:#_x0000_s1085">
              <w:txbxContent>
                <w:p w:rsidR="003102D5" w:rsidRDefault="005A7055" w:rsidP="003102D5">
                  <w:r>
                    <w:t xml:space="preserve">La obligación tributaria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72" type="#_x0000_t21" style="position:absolute;margin-left:635.45pt;margin-top:6.95pt;width:91.35pt;height:46.4pt;z-index:251750400" fillcolor="white [3201]" strokecolor="#9bbb59 [3206]" strokeweight="2.5pt">
            <v:shadow color="#868686"/>
            <v:textbox style="mso-next-textbox:#_x0000_s1172">
              <w:txbxContent>
                <w:p w:rsidR="00F14510" w:rsidRDefault="00F14510" w:rsidP="00F14510">
                  <w:pPr>
                    <w:pStyle w:val="Sinespaciado"/>
                    <w:jc w:val="center"/>
                  </w:pPr>
                  <w:r>
                    <w:t xml:space="preserve">Disposiciones transitorias </w:t>
                  </w:r>
                </w:p>
              </w:txbxContent>
            </v:textbox>
          </v:shape>
        </w:pict>
      </w:r>
      <w:r w:rsidR="00E714DD">
        <w:rPr>
          <w:noProof/>
          <w:lang w:eastAsia="es-SV"/>
        </w:rPr>
        <w:pict>
          <v:shape id="_x0000_s1163" type="#_x0000_t21" style="position:absolute;margin-left:437.85pt;margin-top:11.5pt;width:143.6pt;height:41.85pt;z-index:251741184" fillcolor="white [3201]" strokecolor="#9bbb59 [3206]" strokeweight="2.5pt">
            <v:shadow color="#868686"/>
            <v:textbox style="mso-next-textbox:#_x0000_s1163">
              <w:txbxContent>
                <w:p w:rsidR="006817DF" w:rsidRDefault="0017552F" w:rsidP="0017552F">
                  <w:pPr>
                    <w:pStyle w:val="Sinespaciado"/>
                  </w:pPr>
                  <w:r>
                    <w:t xml:space="preserve">La repetición o devolución de los impuestos 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09" type="#_x0000_t32" style="position:absolute;margin-left:-.85pt;margin-top:.15pt;width:17.45pt;height:0;z-index:25168896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54" type="#_x0000_t32" style="position:absolute;margin-left:13.55pt;margin-top:9.65pt;width:1.1pt;height:229.05pt;flip:x;z-index:251731968" o:connectortype="straight"/>
        </w:pict>
      </w:r>
      <w:r>
        <w:rPr>
          <w:noProof/>
          <w:lang w:eastAsia="es-SV"/>
        </w:rPr>
        <w:pict>
          <v:shape id="_x0000_s1179" type="#_x0000_t32" style="position:absolute;margin-left:423.65pt;margin-top:4.45pt;width:14.2pt;height:0;z-index:251757568" o:connectortype="straight">
            <v:stroke endarrow="block"/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50" type="#_x0000_t21" style="position:absolute;margin-left:25.65pt;margin-top:88.25pt;width:174.45pt;height:27.9pt;z-index:251727872" fillcolor="white [3201]" strokecolor="#9bbb59 [3206]" strokeweight="2.5pt">
            <v:shadow color="#868686"/>
            <v:textbox>
              <w:txbxContent>
                <w:p w:rsidR="005A7055" w:rsidRDefault="005A7055" w:rsidP="005A7055">
                  <w:pPr>
                    <w:pStyle w:val="Sinespaciado"/>
                  </w:pPr>
                  <w:r>
                    <w:t>Sujetos pasivos y responsabilidad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58" type="#_x0000_t32" style="position:absolute;margin-left:13.55pt;margin-top:213.25pt;width:10.8pt;height:0;z-index:25173606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52" type="#_x0000_t21" style="position:absolute;margin-left:22.55pt;margin-top:200.6pt;width:183.4pt;height:27.9pt;z-index:251729920" fillcolor="white [3201]" strokecolor="#9bbb59 [3206]" strokeweight="2.5pt">
            <v:shadow color="#868686"/>
            <v:textbox>
              <w:txbxContent>
                <w:p w:rsidR="0066632F" w:rsidRDefault="0066632F" w:rsidP="0066632F">
                  <w:pPr>
                    <w:pStyle w:val="Sinespaciado"/>
                  </w:pPr>
                  <w:r>
                    <w:t>Extinción de la obligación tributaria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56" type="#_x0000_t32" style="position:absolute;margin-left:14.65pt;margin-top:143.25pt;width:10.8pt;height:0;z-index:25173401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7" type="#_x0000_t21" style="position:absolute;margin-left:25.65pt;margin-top:.65pt;width:131.6pt;height:27.7pt;z-index:251724800" fillcolor="white [3201]" strokecolor="#9bbb59 [3206]" strokeweight="2.5pt">
            <v:shadow color="#868686"/>
            <v:textbox>
              <w:txbxContent>
                <w:p w:rsidR="005A7055" w:rsidRDefault="005A7055" w:rsidP="005A7055">
                  <w:pPr>
                    <w:pStyle w:val="Sinespaciado"/>
                  </w:pPr>
                  <w:r>
                    <w:t xml:space="preserve">Disposiciones generales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59" type="#_x0000_t32" style="position:absolute;margin-left:15.75pt;margin-top:100.25pt;width:10.8pt;height:0;z-index:25173708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53" type="#_x0000_t32" style="position:absolute;margin-left:14.65pt;margin-top:13.35pt;width:10.8pt;height:.05pt;z-index:25173094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9" type="#_x0000_t21" style="position:absolute;margin-left:24.8pt;margin-top:126.7pt;width:189.8pt;height:28.85pt;z-index:251726848" fillcolor="white [3201]" strokecolor="#9bbb59 [3206]" strokeweight="2.5pt">
            <v:shadow color="#868686"/>
            <v:textbox>
              <w:txbxContent>
                <w:p w:rsidR="005A7055" w:rsidRDefault="0066632F" w:rsidP="005A7055">
                  <w:pPr>
                    <w:pStyle w:val="Sinespaciado"/>
                  </w:pPr>
                  <w:r>
                    <w:t>Hecho generados y base imponible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51" type="#_x0000_t21" style="position:absolute;margin-left:22.05pt;margin-top:36.2pt;width:198.75pt;height:41.55pt;z-index:251728896" fillcolor="white [3201]" strokecolor="#9bbb59 [3206]" strokeweight="2.5pt">
            <v:shadow color="#868686"/>
            <v:textbox>
              <w:txbxContent>
                <w:p w:rsidR="005A7055" w:rsidRDefault="005A7055" w:rsidP="005A7055">
                  <w:pPr>
                    <w:pStyle w:val="Sinespaciado"/>
                  </w:pPr>
                  <w:r>
                    <w:t xml:space="preserve">Sujeto activo de la obligación jurídico tributaria 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73" type="#_x0000_t21" style="position:absolute;margin-left:639.6pt;margin-top:15.75pt;width:92.55pt;height:46.4pt;z-index:251751424" fillcolor="white [3201]" strokecolor="#9bbb59 [3206]" strokeweight="2.5pt">
            <v:shadow color="#868686"/>
            <v:textbox style="mso-next-textbox:#_x0000_s1173">
              <w:txbxContent>
                <w:p w:rsidR="00F14510" w:rsidRDefault="00F14510" w:rsidP="00F14510">
                  <w:pPr>
                    <w:pStyle w:val="Sinespaciado"/>
                    <w:jc w:val="center"/>
                  </w:pPr>
                  <w:r>
                    <w:t>Derogatorias y vigencia</w:t>
                  </w:r>
                </w:p>
              </w:txbxContent>
            </v:textbox>
          </v:shape>
        </w:pict>
      </w:r>
      <w:r w:rsidR="00E714DD">
        <w:rPr>
          <w:noProof/>
          <w:lang w:eastAsia="es-SV"/>
        </w:rPr>
        <w:pict>
          <v:shape id="_x0000_s1169" type="#_x0000_t21" style="position:absolute;margin-left:438.7pt;margin-top:15.75pt;width:155.85pt;height:59.15pt;z-index:251747328" fillcolor="white [3201]" strokecolor="#9bbb59 [3206]" strokeweight="2.5pt">
            <v:shadow color="#868686"/>
            <v:textbox>
              <w:txbxContent>
                <w:p w:rsidR="009D594B" w:rsidRDefault="00E714DD" w:rsidP="009D594B">
                  <w:pPr>
                    <w:pStyle w:val="Sinespaciado"/>
                  </w:pPr>
                  <w:r>
                    <w:t xml:space="preserve">Procedimiento de rebaja en el porcentaje de retención del impuesto sobre la renta </w:t>
                  </w:r>
                </w:p>
              </w:txbxContent>
            </v:textbox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80" type="#_x0000_t32" style="position:absolute;margin-left:423.65pt;margin-top:14.8pt;width:15.05pt;height:0;z-index:251758592" o:connectortype="straight">
            <v:stroke endarrow="block"/>
          </v:shape>
        </w:pict>
      </w:r>
      <w:r w:rsidR="0017552F">
        <w:rPr>
          <w:noProof/>
          <w:lang w:eastAsia="es-SV"/>
        </w:rPr>
        <w:pict>
          <v:shape id="_x0000_s1097" type="#_x0000_t21" style="position:absolute;margin-left:250.55pt;margin-top:4.4pt;width:128.45pt;height:27.1pt;z-index:251676672" fillcolor="white [3201]" strokecolor="#9bbb59 [3206]" strokeweight="2.5pt">
            <v:shadow color="#868686"/>
            <v:textbox>
              <w:txbxContent>
                <w:p w:rsidR="003102D5" w:rsidRDefault="00B54750" w:rsidP="003102D5">
                  <w:pPr>
                    <w:pStyle w:val="Sinespaciado"/>
                  </w:pPr>
                  <w:r>
                    <w:t xml:space="preserve">Obligaciones de pago </w:t>
                  </w:r>
                </w:p>
              </w:txbxContent>
            </v:textbox>
          </v:shape>
        </w:pict>
      </w:r>
      <w:r w:rsidR="000726D4">
        <w:rPr>
          <w:noProof/>
          <w:lang w:eastAsia="es-SV"/>
        </w:rPr>
        <w:pict>
          <v:shape id="_x0000_s1129" type="#_x0000_t32" style="position:absolute;margin-left:222.95pt;margin-top:13.15pt;width:32.15pt;height:.05pt;z-index:251709440" o:connectortype="straight">
            <v:stroke endarrow="block"/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88" type="#_x0000_t32" style="position:absolute;margin-left:283.8pt;margin-top:5.45pt;width:0;height:18.35pt;z-index:251766784" o:connectortype="straight">
            <v:stroke endarrow="block"/>
          </v:shape>
        </w:pict>
      </w:r>
      <w:r>
        <w:rPr>
          <w:noProof/>
          <w:lang w:eastAsia="es-SV"/>
        </w:rPr>
        <w:pict>
          <v:rect id="_x0000_s1168" style="position:absolute;margin-left:240.05pt;margin-top:23.8pt;width:167.55pt;height:148.55pt;z-index:251746304" fillcolor="white [3201]" strokecolor="#9bbb59 [3206]" strokeweight="2.25pt">
            <v:stroke dashstyle="dash"/>
            <v:shadow color="#868686"/>
            <v:textbox style="mso-next-textbox:#_x0000_s1168">
              <w:txbxContent>
                <w:p w:rsidR="00B54750" w:rsidRDefault="000726D4" w:rsidP="000726D4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  <w:jc w:val="both"/>
                  </w:pPr>
                  <w:r>
                    <w:t xml:space="preserve">Autoliquidación y pago </w:t>
                  </w:r>
                </w:p>
                <w:p w:rsidR="000726D4" w:rsidRDefault="000726D4" w:rsidP="000726D4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  <w:jc w:val="both"/>
                  </w:pPr>
                  <w:r>
                    <w:t xml:space="preserve">Pago o anticipo a cuenta del impuesto sobre la renta </w:t>
                  </w:r>
                </w:p>
                <w:p w:rsidR="000726D4" w:rsidRDefault="000726D4" w:rsidP="000726D4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  <w:jc w:val="both"/>
                  </w:pPr>
                  <w:r>
                    <w:t xml:space="preserve">Retenciones de impuesto sobre la renta </w:t>
                  </w:r>
                </w:p>
                <w:p w:rsidR="000726D4" w:rsidRDefault="000726D4" w:rsidP="00B54750">
                  <w:pPr>
                    <w:pStyle w:val="Sinespaciado"/>
                    <w:numPr>
                      <w:ilvl w:val="0"/>
                      <w:numId w:val="5"/>
                    </w:numPr>
                    <w:ind w:left="284"/>
                    <w:jc w:val="both"/>
                  </w:pPr>
                  <w:r>
                    <w:t xml:space="preserve">Retenciones y percepciones de impuesto  a la transferencia de bienes muebles y a la prestación de servicios </w:t>
                  </w:r>
                </w:p>
                <w:p w:rsidR="000726D4" w:rsidRPr="00F80DC0" w:rsidRDefault="000726D4" w:rsidP="000726D4">
                  <w:pPr>
                    <w:pStyle w:val="Sinespaciado"/>
                    <w:jc w:val="both"/>
                  </w:pPr>
                </w:p>
              </w:txbxContent>
            </v:textbox>
          </v:rect>
        </w:pict>
      </w:r>
      <w:r w:rsidR="0066632F">
        <w:rPr>
          <w:noProof/>
          <w:lang w:eastAsia="es-SV"/>
        </w:rPr>
        <w:pict>
          <v:shape id="_x0000_s1155" type="#_x0000_t32" style="position:absolute;margin-left:14.65pt;margin-top:5.45pt;width:10.8pt;height:0;z-index:251732992" o:connectortype="straight">
            <v:stroke endarrow="block"/>
          </v:shape>
        </w:pict>
      </w:r>
    </w:p>
    <w:p w:rsidR="003102D5" w:rsidRPr="00B30540" w:rsidRDefault="00F14510" w:rsidP="003102D5">
      <w:r>
        <w:rPr>
          <w:noProof/>
          <w:lang w:eastAsia="es-SV"/>
        </w:rPr>
        <w:pict>
          <v:shape id="_x0000_s1181" type="#_x0000_t32" style="position:absolute;margin-left:423.65pt;margin-top:23.85pt;width:20.35pt;height:0;z-index:251759616" o:connectortype="straight">
            <v:stroke endarrow="block"/>
          </v:shape>
        </w:pict>
      </w:r>
      <w:r w:rsidR="00E714DD">
        <w:rPr>
          <w:noProof/>
          <w:lang w:eastAsia="es-SV"/>
        </w:rPr>
        <w:pict>
          <v:shape id="_x0000_s1170" type="#_x0000_t21" style="position:absolute;margin-left:444pt;margin-top:11.45pt;width:143.6pt;height:32pt;z-index:251748352" fillcolor="white [3201]" strokecolor="#9bbb59 [3206]" strokeweight="2.5pt">
            <v:shadow color="#868686"/>
            <v:textbox>
              <w:txbxContent>
                <w:p w:rsidR="00E714DD" w:rsidRDefault="00E714DD" w:rsidP="00E714DD">
                  <w:pPr>
                    <w:pStyle w:val="Sinespaciado"/>
                  </w:pPr>
                  <w:r>
                    <w:t xml:space="preserve">Régimen sancionatorio </w:t>
                  </w:r>
                </w:p>
              </w:txbxContent>
            </v:textbox>
          </v:shape>
        </w:pict>
      </w:r>
    </w:p>
    <w:p w:rsidR="003102D5" w:rsidRPr="00B30540" w:rsidRDefault="003102D5" w:rsidP="003102D5"/>
    <w:p w:rsidR="003102D5" w:rsidRPr="00B30540" w:rsidRDefault="003102D5" w:rsidP="003102D5"/>
    <w:p w:rsidR="003102D5" w:rsidRPr="00B30540" w:rsidRDefault="0066632F" w:rsidP="003102D5">
      <w:pPr>
        <w:tabs>
          <w:tab w:val="left" w:pos="8591"/>
        </w:tabs>
      </w:pPr>
      <w:r>
        <w:rPr>
          <w:noProof/>
          <w:lang w:eastAsia="es-SV"/>
        </w:rPr>
        <w:pict>
          <v:shape id="_x0000_s1148" type="#_x0000_t21" style="position:absolute;margin-left:24.1pt;margin-top:11.5pt;width:78.15pt;height:27.35pt;z-index:251725824" fillcolor="white [3201]" strokecolor="#9bbb59 [3206]" strokeweight="2.5pt">
            <v:shadow color="#868686"/>
            <v:textbox>
              <w:txbxContent>
                <w:p w:rsidR="005A7055" w:rsidRDefault="0066632F" w:rsidP="005A7055">
                  <w:pPr>
                    <w:pStyle w:val="Sinespaciado"/>
                  </w:pPr>
                  <w:r>
                    <w:t>Exenciones</w:t>
                  </w:r>
                </w:p>
              </w:txbxContent>
            </v:textbox>
          </v:shape>
        </w:pict>
      </w:r>
      <w:r w:rsidR="003102D5">
        <w:tab/>
      </w:r>
    </w:p>
    <w:p w:rsidR="00BE2CBA" w:rsidRDefault="0066632F" w:rsidP="003102D5">
      <w:pPr>
        <w:tabs>
          <w:tab w:val="left" w:pos="8087"/>
        </w:tabs>
      </w:pPr>
      <w:r>
        <w:rPr>
          <w:noProof/>
          <w:lang w:eastAsia="es-SV"/>
        </w:rPr>
        <w:pict>
          <v:shape id="_x0000_s1157" type="#_x0000_t32" style="position:absolute;margin-left:14.65pt;margin-top:.4pt;width:10.8pt;height:0;z-index:251735040" o:connectortype="straight">
            <v:stroke endarrow="block"/>
          </v:shape>
        </w:pict>
      </w:r>
      <w:r w:rsidR="003102D5">
        <w:tab/>
      </w:r>
    </w:p>
    <w:sectPr w:rsidR="00BE2CBA" w:rsidSect="003102D5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84D15"/>
    <w:multiLevelType w:val="hybridMultilevel"/>
    <w:tmpl w:val="B19C2C3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91B8D"/>
    <w:multiLevelType w:val="hybridMultilevel"/>
    <w:tmpl w:val="2FC87C1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377CC3"/>
    <w:multiLevelType w:val="hybridMultilevel"/>
    <w:tmpl w:val="4FBC599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C6B34"/>
    <w:multiLevelType w:val="hybridMultilevel"/>
    <w:tmpl w:val="FDBCD90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BE1450"/>
    <w:multiLevelType w:val="hybridMultilevel"/>
    <w:tmpl w:val="E304BB2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E6DB9"/>
    <w:multiLevelType w:val="hybridMultilevel"/>
    <w:tmpl w:val="3BE66690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02D5"/>
    <w:rsid w:val="000726D4"/>
    <w:rsid w:val="0017552F"/>
    <w:rsid w:val="003102D5"/>
    <w:rsid w:val="00535537"/>
    <w:rsid w:val="005A7055"/>
    <w:rsid w:val="0066632F"/>
    <w:rsid w:val="006817DF"/>
    <w:rsid w:val="007A179F"/>
    <w:rsid w:val="009D594B"/>
    <w:rsid w:val="00B54750"/>
    <w:rsid w:val="00BE2CBA"/>
    <w:rsid w:val="00E714DD"/>
    <w:rsid w:val="00F1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2" type="connector" idref="#_x0000_s1129"/>
        <o:r id="V:Rule33" type="connector" idref="#_x0000_s1133"/>
        <o:r id="V:Rule37" type="connector" idref="#_x0000_s1084"/>
        <o:r id="V:Rule44" type="connector" idref="#_x0000_s1092"/>
        <o:r id="V:Rule47" type="connector" idref="#_x0000_s1090"/>
        <o:r id="V:Rule50" type="connector" idref="#_x0000_s1134"/>
        <o:r id="V:Rule53" type="connector" idref="#_x0000_s1135"/>
        <o:r id="V:Rule54" type="connector" idref="#_x0000_s1083"/>
        <o:r id="V:Rule56" type="connector" idref="#_x0000_s1109"/>
        <o:r id="V:Rule60" type="connector" idref="#_x0000_s1143"/>
        <o:r id="V:Rule62" type="connector" idref="#_x0000_s1144"/>
        <o:r id="V:Rule64" type="connector" idref="#_x0000_s1145"/>
        <o:r id="V:Rule66" type="connector" idref="#_x0000_s1146"/>
        <o:r id="V:Rule67" type="connector" idref="#_x0000_s1153"/>
        <o:r id="V:Rule68" type="connector" idref="#_x0000_s1154"/>
        <o:r id="V:Rule69" type="connector" idref="#_x0000_s1155"/>
        <o:r id="V:Rule70" type="connector" idref="#_x0000_s1156"/>
        <o:r id="V:Rule71" type="connector" idref="#_x0000_s1157"/>
        <o:r id="V:Rule72" type="connector" idref="#_x0000_s1158"/>
        <o:r id="V:Rule73" type="connector" idref="#_x0000_s1159"/>
        <o:r id="V:Rule75" type="connector" idref="#_x0000_s1165"/>
        <o:r id="V:Rule77" type="connector" idref="#_x0000_s1166"/>
        <o:r id="V:Rule79" type="connector" idref="#_x0000_s1167"/>
        <o:r id="V:Rule81" type="connector" idref="#_x0000_s1174"/>
        <o:r id="V:Rule83" type="connector" idref="#_x0000_s1175"/>
        <o:r id="V:Rule85" type="connector" idref="#_x0000_s1176"/>
        <o:r id="V:Rule87" type="connector" idref="#_x0000_s1177"/>
        <o:r id="V:Rule89" type="connector" idref="#_x0000_s1178"/>
        <o:r id="V:Rule91" type="connector" idref="#_x0000_s1179"/>
        <o:r id="V:Rule93" type="connector" idref="#_x0000_s1180"/>
        <o:r id="V:Rule95" type="connector" idref="#_x0000_s1181"/>
        <o:r id="V:Rule97" type="connector" idref="#_x0000_s1182"/>
        <o:r id="V:Rule99" type="connector" idref="#_x0000_s1183"/>
        <o:r id="V:Rule101" type="connector" idref="#_x0000_s1184"/>
        <o:r id="V:Rule103" type="connector" idref="#_x0000_s1185"/>
        <o:r id="V:Rule104" type="connector" idref="#_x0000_s1186"/>
        <o:r id="V:Rule105" type="connector" idref="#_x0000_s1187"/>
        <o:r id="V:Rule107" type="connector" idref="#_x0000_s118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102D5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1</cp:revision>
  <dcterms:created xsi:type="dcterms:W3CDTF">2013-10-11T03:16:00Z</dcterms:created>
  <dcterms:modified xsi:type="dcterms:W3CDTF">2013-10-11T04:59:00Z</dcterms:modified>
</cp:coreProperties>
</file>