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19F1" w:rsidRPr="00F36644" w:rsidRDefault="00341E67" w:rsidP="002E4366">
      <w:pPr>
        <w:spacing w:line="360" w:lineRule="auto"/>
        <w:jc w:val="center"/>
        <w:rPr>
          <w:rFonts w:ascii="Arial Narrow" w:hAnsi="Arial Narrow" w:cs="Arial"/>
          <w:b/>
          <w:sz w:val="24"/>
          <w:szCs w:val="24"/>
          <w:lang w:val="es-SV"/>
        </w:rPr>
      </w:pPr>
      <w:r w:rsidRPr="00F36644">
        <w:rPr>
          <w:rFonts w:ascii="Arial Narrow" w:hAnsi="Arial Narrow" w:cs="Arial"/>
          <w:b/>
          <w:sz w:val="24"/>
          <w:szCs w:val="24"/>
          <w:lang w:val="es-SV"/>
        </w:rPr>
        <w:t xml:space="preserve">RESUMEN </w:t>
      </w:r>
      <w:bookmarkStart w:id="0" w:name="_GoBack"/>
      <w:bookmarkEnd w:id="0"/>
      <w:r w:rsidRPr="00F36644">
        <w:rPr>
          <w:rFonts w:ascii="Arial Narrow" w:hAnsi="Arial Narrow" w:cs="Arial"/>
          <w:b/>
          <w:sz w:val="24"/>
          <w:szCs w:val="24"/>
          <w:lang w:val="es-SV"/>
        </w:rPr>
        <w:t>DEL CODIGO TRIBUTARIO</w:t>
      </w:r>
    </w:p>
    <w:p w:rsidR="00341E67" w:rsidRPr="00F36644" w:rsidRDefault="00341E67"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t>El presente Código Tributario contiene los principios y normas jurídicas, aplicables a  todos los tributos internos bajo la competencia de la Administración Tributaria. Según el código los tributos pueden clasificarse en Impuestos, Tasas y Contribuciones especiales.</w:t>
      </w:r>
    </w:p>
    <w:p w:rsidR="00341E67" w:rsidRPr="00F36644" w:rsidRDefault="00341E67"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t xml:space="preserve">De acuerdo a los establecimientos de este código las obligaciones tributarias son Formales y Sustantivas, independientemente del hecho generador. Las primeras obligaciones son las que el sujetos pasivo está obligado solo a presentar informes o declaraciones sin pagar ningún tributo, las segundas son aquellas en las que el sujeto pasivo se hace un pago definitivo del impuesto, es decir que además de presentar también hace efectivo el pago. Además nos aclara quienes son los sujetos pasivos y Activos. Los sujetos pasivos son los contribuyentes (quienes realizan </w:t>
      </w:r>
      <w:r w:rsidR="00D26CEF" w:rsidRPr="00F36644">
        <w:rPr>
          <w:rFonts w:ascii="Arial Narrow" w:hAnsi="Arial Narrow" w:cs="Arial"/>
          <w:sz w:val="24"/>
          <w:szCs w:val="24"/>
          <w:lang w:val="es-SV"/>
        </w:rPr>
        <w:t>o respecto de los cuales se verifica el hecho generador de la obligación tributaria</w:t>
      </w:r>
      <w:r w:rsidRPr="00F36644">
        <w:rPr>
          <w:rFonts w:ascii="Arial Narrow" w:hAnsi="Arial Narrow" w:cs="Arial"/>
          <w:sz w:val="24"/>
          <w:szCs w:val="24"/>
          <w:lang w:val="es-SV"/>
        </w:rPr>
        <w:t>) o los que tienen calidad de responsables</w:t>
      </w:r>
      <w:r w:rsidR="00D26CEF" w:rsidRPr="00F36644">
        <w:rPr>
          <w:rFonts w:ascii="Arial Narrow" w:hAnsi="Arial Narrow" w:cs="Arial"/>
          <w:sz w:val="24"/>
          <w:szCs w:val="24"/>
          <w:lang w:val="es-SV"/>
        </w:rPr>
        <w:t xml:space="preserve"> (quien, aun sin tener el carácter de contribuyente, debe por disposición expresa de la ley cumplir las obligaciones atribuidas)</w:t>
      </w:r>
      <w:r w:rsidRPr="00F36644">
        <w:rPr>
          <w:rFonts w:ascii="Arial Narrow" w:hAnsi="Arial Narrow" w:cs="Arial"/>
          <w:sz w:val="24"/>
          <w:szCs w:val="24"/>
          <w:lang w:val="es-SV"/>
        </w:rPr>
        <w:t xml:space="preserve"> del impuesto, los sujetos Activos es la Administración Tributaria, quien es la encargada de recoger todo los impuestos. </w:t>
      </w:r>
    </w:p>
    <w:p w:rsidR="00D26CEF" w:rsidRPr="00F36644" w:rsidRDefault="00D26CEF"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t>De la misma manera el código define el hecho generador como el presupuesto establecido por la ley por cuya realización se origina el nacimiento de la obligación tributaria, además de eso menciona la base imponible para el cálculo del impuesto y la define como la cuantificación económica del hecho generador expresada en moneda de curso legal y es la base del cálculo para la liquidación del impuesto.</w:t>
      </w:r>
    </w:p>
    <w:p w:rsidR="00D26CEF" w:rsidRPr="00F36644" w:rsidRDefault="00D26CEF"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t xml:space="preserve">También hace mención a las exenciones (es la dispensa legal de la obligación tributaria sustantiva), para la cual también deberán cumplirse algunos requisitos y condiciones. De la misma manera menciona la forma que puede quedar extinguida dicha obligación tributaria que </w:t>
      </w:r>
      <w:proofErr w:type="gramStart"/>
      <w:r w:rsidRPr="00F36644">
        <w:rPr>
          <w:rFonts w:ascii="Arial Narrow" w:hAnsi="Arial Narrow" w:cs="Arial"/>
          <w:sz w:val="24"/>
          <w:szCs w:val="24"/>
          <w:lang w:val="es-SV"/>
        </w:rPr>
        <w:t>son</w:t>
      </w:r>
      <w:proofErr w:type="gramEnd"/>
      <w:r w:rsidRPr="00F36644">
        <w:rPr>
          <w:rFonts w:ascii="Arial Narrow" w:hAnsi="Arial Narrow" w:cs="Arial"/>
          <w:sz w:val="24"/>
          <w:szCs w:val="24"/>
          <w:lang w:val="es-SV"/>
        </w:rPr>
        <w:t xml:space="preserve">; el pago, la compensación, confusión y prescripción. </w:t>
      </w:r>
    </w:p>
    <w:p w:rsidR="00D26CEF" w:rsidRPr="00F36644" w:rsidRDefault="00F34C9D"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t xml:space="preserve">El pago es la prestación efectiva de la obligación tributaria, este pago puede darse de las siguientes maneras: En dinero efectivo, con títulos autorizados, mediante cheque certificado y por </w:t>
      </w:r>
      <w:proofErr w:type="spellStart"/>
      <w:r w:rsidRPr="00F36644">
        <w:rPr>
          <w:rFonts w:ascii="Arial Narrow" w:hAnsi="Arial Narrow" w:cs="Arial"/>
          <w:sz w:val="24"/>
          <w:szCs w:val="24"/>
          <w:lang w:val="es-SV"/>
        </w:rPr>
        <w:t>acreditamiento</w:t>
      </w:r>
      <w:proofErr w:type="spellEnd"/>
      <w:r w:rsidRPr="00F36644">
        <w:rPr>
          <w:rFonts w:ascii="Arial Narrow" w:hAnsi="Arial Narrow" w:cs="Arial"/>
          <w:sz w:val="24"/>
          <w:szCs w:val="24"/>
          <w:lang w:val="es-SV"/>
        </w:rPr>
        <w:t xml:space="preserve"> de retenciones como: pago por retención o por percepción, pago por terceros, Anticipos a Cuenta. Seguidamente proporciona los plazos en los cuales debe hacerse y de no hacerlo la mora y los intereses a cancelar.</w:t>
      </w:r>
    </w:p>
    <w:p w:rsidR="00F34C9D" w:rsidRPr="00F36644" w:rsidRDefault="00F34C9D"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lastRenderedPageBreak/>
        <w:t>Según lo expreso en el Código Tributario, se deberán emitir documentos que respalden las transacciones que realizan las empresas dentro de ellos podemos mencionar el Crédito Fiscal IVA</w:t>
      </w:r>
      <w:r w:rsidR="00663EDB" w:rsidRPr="00F36644">
        <w:rPr>
          <w:rFonts w:ascii="Arial Narrow" w:hAnsi="Arial Narrow" w:cs="Arial"/>
          <w:sz w:val="24"/>
          <w:szCs w:val="24"/>
          <w:lang w:val="es-SV"/>
        </w:rPr>
        <w:t>, Factura Consumidor Final, Factura de Venta Simplificada, comprobante de liquidación, nota de remisión, nota de Crédito, nota  de Debito; de la misma manera el proceso que deben seguir las empresas si dichos documentos los emitirán de manera electrónica.</w:t>
      </w:r>
    </w:p>
    <w:p w:rsidR="00663EDB" w:rsidRPr="00F36644" w:rsidRDefault="00663EDB" w:rsidP="002E4366">
      <w:pPr>
        <w:spacing w:line="360" w:lineRule="auto"/>
        <w:jc w:val="both"/>
        <w:rPr>
          <w:rFonts w:ascii="Arial Narrow" w:hAnsi="Arial Narrow" w:cs="Arial"/>
          <w:sz w:val="24"/>
          <w:szCs w:val="24"/>
          <w:lang w:val="es-SV"/>
        </w:rPr>
      </w:pPr>
      <w:r w:rsidRPr="00F36644">
        <w:rPr>
          <w:rFonts w:ascii="Arial Narrow" w:hAnsi="Arial Narrow" w:cs="Arial"/>
          <w:sz w:val="24"/>
          <w:szCs w:val="24"/>
          <w:lang w:val="es-SV"/>
        </w:rPr>
        <w:t>Algo muy importante, el incumplimiento de las obligaciones tributarias</w:t>
      </w:r>
      <w:r w:rsidR="00355036" w:rsidRPr="00F36644">
        <w:rPr>
          <w:rFonts w:ascii="Arial Narrow" w:hAnsi="Arial Narrow" w:cs="Arial"/>
          <w:sz w:val="24"/>
          <w:szCs w:val="24"/>
          <w:lang w:val="es-SV"/>
        </w:rPr>
        <w:t>,</w:t>
      </w:r>
      <w:r w:rsidRPr="00F36644">
        <w:rPr>
          <w:rFonts w:ascii="Arial Narrow" w:hAnsi="Arial Narrow" w:cs="Arial"/>
          <w:sz w:val="24"/>
          <w:szCs w:val="24"/>
          <w:lang w:val="es-SV"/>
        </w:rPr>
        <w:t xml:space="preserve"> ya sea </w:t>
      </w:r>
      <w:r w:rsidR="00355036" w:rsidRPr="00F36644">
        <w:rPr>
          <w:rFonts w:ascii="Arial Narrow" w:hAnsi="Arial Narrow" w:cs="Arial"/>
          <w:sz w:val="24"/>
          <w:szCs w:val="24"/>
          <w:lang w:val="es-SV"/>
        </w:rPr>
        <w:t>formal o sustantiva requiere</w:t>
      </w:r>
      <w:r w:rsidRPr="00F36644">
        <w:rPr>
          <w:rFonts w:ascii="Arial Narrow" w:hAnsi="Arial Narrow" w:cs="Arial"/>
          <w:sz w:val="24"/>
          <w:szCs w:val="24"/>
          <w:lang w:val="es-SV"/>
        </w:rPr>
        <w:t xml:space="preserve"> de</w:t>
      </w:r>
      <w:r w:rsidR="002E4366" w:rsidRPr="00F36644">
        <w:rPr>
          <w:rFonts w:ascii="Arial Narrow" w:hAnsi="Arial Narrow" w:cs="Arial"/>
          <w:sz w:val="24"/>
          <w:szCs w:val="24"/>
          <w:lang w:val="es-SV"/>
        </w:rPr>
        <w:t xml:space="preserve"> ciertas sanciones y multas en el caso de requerirlas.</w:t>
      </w:r>
    </w:p>
    <w:p w:rsidR="002E4366" w:rsidRPr="00F36644" w:rsidRDefault="002E4366" w:rsidP="00341E67">
      <w:pPr>
        <w:jc w:val="both"/>
        <w:rPr>
          <w:rFonts w:ascii="Arial Narrow" w:hAnsi="Arial Narrow"/>
          <w:lang w:val="es-SV"/>
        </w:rPr>
      </w:pPr>
    </w:p>
    <w:p w:rsidR="00F34C9D" w:rsidRPr="00F36644" w:rsidRDefault="00F34C9D" w:rsidP="00341E67">
      <w:pPr>
        <w:jc w:val="both"/>
        <w:rPr>
          <w:rFonts w:ascii="Arial Narrow" w:hAnsi="Arial Narrow"/>
          <w:lang w:val="es-SV"/>
        </w:rPr>
      </w:pPr>
    </w:p>
    <w:sectPr w:rsidR="00F34C9D" w:rsidRPr="00F36644" w:rsidSect="00F36644">
      <w:headerReference w:type="default" r:id="rId6"/>
      <w:footerReference w:type="default" r:id="rId7"/>
      <w:pgSz w:w="12240" w:h="15840"/>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BCE" w:rsidRDefault="00F87BCE" w:rsidP="00F36644">
      <w:pPr>
        <w:spacing w:after="0" w:line="240" w:lineRule="auto"/>
      </w:pPr>
      <w:r>
        <w:separator/>
      </w:r>
    </w:p>
  </w:endnote>
  <w:endnote w:type="continuationSeparator" w:id="0">
    <w:p w:rsidR="00F87BCE" w:rsidRDefault="00F87BCE" w:rsidP="00F3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44" w:rsidRPr="00F36644" w:rsidRDefault="00F36644" w:rsidP="00F36644">
    <w:pPr>
      <w:pStyle w:val="Piedepgina"/>
      <w:jc w:val="center"/>
      <w:rPr>
        <w:i/>
        <w:lang w:val="en-US"/>
      </w:rPr>
    </w:pPr>
    <w:r w:rsidRPr="00F36644">
      <w:rPr>
        <w:i/>
        <w:lang w:val="en-US"/>
      </w:rPr>
      <w:t>BmelaraGT04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BCE" w:rsidRDefault="00F87BCE" w:rsidP="00F36644">
      <w:pPr>
        <w:spacing w:after="0" w:line="240" w:lineRule="auto"/>
      </w:pPr>
      <w:r>
        <w:separator/>
      </w:r>
    </w:p>
  </w:footnote>
  <w:footnote w:type="continuationSeparator" w:id="0">
    <w:p w:rsidR="00F87BCE" w:rsidRDefault="00F87BCE" w:rsidP="00F366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644" w:rsidRPr="00F36644" w:rsidRDefault="00F36644" w:rsidP="00F36644">
    <w:pPr>
      <w:pStyle w:val="Encabezado"/>
      <w:jc w:val="center"/>
      <w:rPr>
        <w:lang w:val="en-US"/>
      </w:rPr>
    </w:pPr>
    <w:r w:rsidRPr="00F36644">
      <w:rPr>
        <w:lang w:val="en-US"/>
      </w:rPr>
      <w:t xml:space="preserve">Control de </w:t>
    </w:r>
    <w:proofErr w:type="spellStart"/>
    <w:r w:rsidRPr="00F36644">
      <w:rPr>
        <w:lang w:val="en-US"/>
      </w:rPr>
      <w:t>lectura</w:t>
    </w:r>
    <w:proofErr w:type="spellEnd"/>
    <w:r w:rsidRPr="00F36644">
      <w:rPr>
        <w:lang w:val="en-US"/>
      </w:rPr>
      <w:t xml:space="preserve"> 4 – </w:t>
    </w:r>
    <w:proofErr w:type="spellStart"/>
    <w:r w:rsidRPr="00F36644">
      <w:rPr>
        <w:lang w:val="en-US"/>
      </w:rPr>
      <w:t>Código</w:t>
    </w:r>
    <w:proofErr w:type="spellEnd"/>
    <w:r w:rsidRPr="00F36644">
      <w:rPr>
        <w:lang w:val="en-US"/>
      </w:rPr>
      <w:t xml:space="preserve"> </w:t>
    </w:r>
    <w:proofErr w:type="spellStart"/>
    <w:r w:rsidRPr="00F36644">
      <w:rPr>
        <w:lang w:val="en-US"/>
      </w:rPr>
      <w:t>Tributario</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41E67"/>
    <w:rsid w:val="00043FC6"/>
    <w:rsid w:val="00226B46"/>
    <w:rsid w:val="00261C50"/>
    <w:rsid w:val="002E4366"/>
    <w:rsid w:val="00341E67"/>
    <w:rsid w:val="00355036"/>
    <w:rsid w:val="00663EDB"/>
    <w:rsid w:val="007F77A1"/>
    <w:rsid w:val="0085018C"/>
    <w:rsid w:val="009821C3"/>
    <w:rsid w:val="009D0BC1"/>
    <w:rsid w:val="009D3FEB"/>
    <w:rsid w:val="00B85555"/>
    <w:rsid w:val="00C05454"/>
    <w:rsid w:val="00D26CEF"/>
    <w:rsid w:val="00DD0C68"/>
    <w:rsid w:val="00F34C9D"/>
    <w:rsid w:val="00F36644"/>
    <w:rsid w:val="00F87BCE"/>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D4250A-4C4A-4719-B89E-6FFB6F8AF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7A1"/>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3664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36644"/>
    <w:rPr>
      <w:lang w:val="es-ES"/>
    </w:rPr>
  </w:style>
  <w:style w:type="paragraph" w:styleId="Piedepgina">
    <w:name w:val="footer"/>
    <w:basedOn w:val="Normal"/>
    <w:link w:val="PiedepginaCar"/>
    <w:uiPriority w:val="99"/>
    <w:unhideWhenUsed/>
    <w:rsid w:val="00F3664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36644"/>
    <w:rPr>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460</Words>
  <Characters>2533</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Orbecita</dc:creator>
  <cp:lastModifiedBy>hugo</cp:lastModifiedBy>
  <cp:revision>4</cp:revision>
  <dcterms:created xsi:type="dcterms:W3CDTF">2013-10-12T03:56:00Z</dcterms:created>
  <dcterms:modified xsi:type="dcterms:W3CDTF">2013-10-12T05:41:00Z</dcterms:modified>
</cp:coreProperties>
</file>