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F9D" w:rsidRPr="00337705" w:rsidRDefault="00185F9D" w:rsidP="00185F9D">
      <w:pPr>
        <w:jc w:val="center"/>
        <w:rPr>
          <w:rFonts w:ascii="Arial" w:hAnsi="Arial" w:cs="Arial"/>
          <w:b/>
          <w:sz w:val="24"/>
          <w:szCs w:val="24"/>
        </w:rPr>
      </w:pPr>
      <w:r w:rsidRPr="00337705">
        <w:rPr>
          <w:rFonts w:ascii="Arial" w:hAnsi="Arial" w:cs="Arial"/>
          <w:b/>
          <w:sz w:val="24"/>
          <w:szCs w:val="24"/>
        </w:rPr>
        <w:t>Código Tributario</w:t>
      </w:r>
    </w:p>
    <w:p w:rsidR="00185F9D" w:rsidRPr="00337705" w:rsidRDefault="00185F9D" w:rsidP="00185F9D">
      <w:pPr>
        <w:jc w:val="both"/>
        <w:rPr>
          <w:rFonts w:ascii="Arial" w:hAnsi="Arial" w:cs="Arial"/>
          <w:sz w:val="24"/>
          <w:szCs w:val="24"/>
        </w:rPr>
      </w:pPr>
      <w:r w:rsidRPr="00337705">
        <w:rPr>
          <w:rFonts w:ascii="Arial" w:hAnsi="Arial" w:cs="Arial"/>
          <w:sz w:val="24"/>
          <w:szCs w:val="24"/>
        </w:rPr>
        <w:t>El Código Tributario de El Salvador es un marco legal unificado que facilita el cumplimiento de las obligaciones tributarias, estableciendo los derechos de los contribuyentes, posibilita el control por parte de La Administración y garantiza un adecuado flujo de recursos financieros que permiten atender las responsabilidades que competen al Estado.</w:t>
      </w:r>
    </w:p>
    <w:p w:rsidR="00185F9D" w:rsidRPr="00337705" w:rsidRDefault="00185F9D" w:rsidP="00185F9D">
      <w:pPr>
        <w:jc w:val="both"/>
        <w:rPr>
          <w:rFonts w:ascii="Arial" w:hAnsi="Arial" w:cs="Arial"/>
          <w:b/>
          <w:sz w:val="24"/>
          <w:szCs w:val="24"/>
        </w:rPr>
      </w:pPr>
      <w:r w:rsidRPr="00337705">
        <w:rPr>
          <w:rFonts w:ascii="Arial" w:hAnsi="Arial" w:cs="Arial"/>
          <w:b/>
          <w:sz w:val="24"/>
          <w:szCs w:val="24"/>
        </w:rPr>
        <w:t>El código Tributario lleva el siguiente Orden:</w:t>
      </w:r>
    </w:p>
    <w:p w:rsidR="00185F9D" w:rsidRPr="00337705" w:rsidRDefault="00185F9D" w:rsidP="00185F9D">
      <w:pPr>
        <w:pStyle w:val="Prrafodelista"/>
        <w:numPr>
          <w:ilvl w:val="0"/>
          <w:numId w:val="1"/>
        </w:numPr>
        <w:jc w:val="both"/>
        <w:rPr>
          <w:rFonts w:ascii="Arial" w:hAnsi="Arial" w:cs="Arial"/>
          <w:sz w:val="24"/>
          <w:szCs w:val="24"/>
        </w:rPr>
      </w:pPr>
      <w:r w:rsidRPr="00337705">
        <w:rPr>
          <w:rFonts w:ascii="Arial" w:hAnsi="Arial" w:cs="Arial"/>
          <w:sz w:val="24"/>
          <w:szCs w:val="24"/>
        </w:rPr>
        <w:t>Título I. Disposiciones preliminares.</w:t>
      </w:r>
    </w:p>
    <w:p w:rsidR="00185F9D" w:rsidRPr="00337705" w:rsidRDefault="00185F9D" w:rsidP="00185F9D">
      <w:pPr>
        <w:pStyle w:val="Prrafodelista"/>
        <w:numPr>
          <w:ilvl w:val="0"/>
          <w:numId w:val="1"/>
        </w:numPr>
        <w:jc w:val="both"/>
        <w:rPr>
          <w:rFonts w:ascii="Arial" w:hAnsi="Arial" w:cs="Arial"/>
          <w:sz w:val="24"/>
          <w:szCs w:val="24"/>
        </w:rPr>
      </w:pPr>
      <w:r w:rsidRPr="00337705">
        <w:rPr>
          <w:rFonts w:ascii="Arial" w:hAnsi="Arial" w:cs="Arial"/>
          <w:sz w:val="24"/>
          <w:szCs w:val="24"/>
        </w:rPr>
        <w:t>Título II. Deberes y derechos de los sujetos pasivos y de los terceros.</w:t>
      </w:r>
    </w:p>
    <w:p w:rsidR="00185F9D" w:rsidRPr="00337705" w:rsidRDefault="00185F9D" w:rsidP="00185F9D">
      <w:pPr>
        <w:pStyle w:val="Prrafodelista"/>
        <w:numPr>
          <w:ilvl w:val="0"/>
          <w:numId w:val="1"/>
        </w:numPr>
        <w:jc w:val="both"/>
        <w:rPr>
          <w:rFonts w:ascii="Arial" w:hAnsi="Arial" w:cs="Arial"/>
          <w:sz w:val="24"/>
          <w:szCs w:val="24"/>
        </w:rPr>
      </w:pPr>
      <w:r w:rsidRPr="00337705">
        <w:rPr>
          <w:rFonts w:ascii="Arial" w:hAnsi="Arial" w:cs="Arial"/>
          <w:sz w:val="24"/>
          <w:szCs w:val="24"/>
        </w:rPr>
        <w:t>Título III. Facultades y obligaciones de la Administración.</w:t>
      </w:r>
    </w:p>
    <w:p w:rsidR="00185F9D" w:rsidRPr="00337705" w:rsidRDefault="00185F9D" w:rsidP="00185F9D">
      <w:pPr>
        <w:pStyle w:val="Prrafodelista"/>
        <w:numPr>
          <w:ilvl w:val="0"/>
          <w:numId w:val="1"/>
        </w:numPr>
        <w:jc w:val="both"/>
        <w:rPr>
          <w:rFonts w:ascii="Arial" w:hAnsi="Arial" w:cs="Arial"/>
          <w:sz w:val="24"/>
          <w:szCs w:val="24"/>
        </w:rPr>
      </w:pPr>
      <w:r w:rsidRPr="00337705">
        <w:rPr>
          <w:rFonts w:ascii="Arial" w:hAnsi="Arial" w:cs="Arial"/>
          <w:sz w:val="24"/>
          <w:szCs w:val="24"/>
        </w:rPr>
        <w:t>Título IV. Procedimientos</w:t>
      </w:r>
    </w:p>
    <w:p w:rsidR="00185F9D" w:rsidRPr="00337705" w:rsidRDefault="00185F9D" w:rsidP="00185F9D">
      <w:pPr>
        <w:pStyle w:val="Prrafodelista"/>
        <w:numPr>
          <w:ilvl w:val="0"/>
          <w:numId w:val="1"/>
        </w:numPr>
        <w:jc w:val="both"/>
        <w:rPr>
          <w:rFonts w:ascii="Arial" w:hAnsi="Arial" w:cs="Arial"/>
          <w:sz w:val="24"/>
          <w:szCs w:val="24"/>
        </w:rPr>
      </w:pPr>
      <w:r w:rsidRPr="00337705">
        <w:rPr>
          <w:rFonts w:ascii="Arial" w:hAnsi="Arial" w:cs="Arial"/>
          <w:sz w:val="24"/>
          <w:szCs w:val="24"/>
        </w:rPr>
        <w:t>Título V. Ilícito tributario y sanciones.</w:t>
      </w:r>
    </w:p>
    <w:p w:rsidR="00185F9D" w:rsidRPr="00337705" w:rsidRDefault="00185F9D" w:rsidP="00185F9D">
      <w:pPr>
        <w:pStyle w:val="Prrafodelista"/>
        <w:jc w:val="both"/>
        <w:rPr>
          <w:rFonts w:ascii="Arial" w:hAnsi="Arial" w:cs="Arial"/>
          <w:sz w:val="24"/>
          <w:szCs w:val="24"/>
        </w:rPr>
      </w:pPr>
    </w:p>
    <w:p w:rsidR="00185F9D" w:rsidRPr="00337705" w:rsidRDefault="00185F9D" w:rsidP="00185F9D">
      <w:pPr>
        <w:jc w:val="both"/>
        <w:rPr>
          <w:rFonts w:ascii="Arial" w:hAnsi="Arial" w:cs="Arial"/>
          <w:b/>
          <w:sz w:val="24"/>
          <w:szCs w:val="24"/>
        </w:rPr>
      </w:pPr>
      <w:r w:rsidRPr="00337705">
        <w:rPr>
          <w:rFonts w:ascii="Arial" w:hAnsi="Arial" w:cs="Arial"/>
          <w:b/>
          <w:sz w:val="24"/>
          <w:szCs w:val="24"/>
        </w:rPr>
        <w:t>Diferentes Métodos de Valuación de Inventarios.</w:t>
      </w:r>
    </w:p>
    <w:p w:rsidR="00185F9D" w:rsidRPr="00337705" w:rsidRDefault="00185F9D" w:rsidP="00185F9D">
      <w:pPr>
        <w:jc w:val="both"/>
        <w:rPr>
          <w:rFonts w:ascii="Arial" w:hAnsi="Arial" w:cs="Arial"/>
          <w:sz w:val="24"/>
          <w:szCs w:val="24"/>
        </w:rPr>
      </w:pPr>
      <w:r w:rsidRPr="00337705">
        <w:rPr>
          <w:rFonts w:ascii="Arial" w:hAnsi="Arial" w:cs="Arial"/>
          <w:sz w:val="24"/>
          <w:szCs w:val="24"/>
        </w:rPr>
        <w:t>todo sujeto pasivo que se dedique a la transferencia de bien muebles corporales manufactura, elaboración, transformación, ganadería, producción, extracción, adquisición, enajenación de materias primas, mercaderías, productos o frutos naturales, accesorios, repuestos o cualquier otro bien, nacionales o extranjeros, de igual forma las que se dediquen a la producción de obras materiales, muebles o inmuebles bajo cualquier modalidad.</w:t>
      </w:r>
    </w:p>
    <w:p w:rsidR="00185F9D" w:rsidRPr="00337705" w:rsidRDefault="00185F9D" w:rsidP="00185F9D">
      <w:pPr>
        <w:jc w:val="both"/>
        <w:rPr>
          <w:rFonts w:ascii="Arial" w:hAnsi="Arial" w:cs="Arial"/>
          <w:b/>
          <w:sz w:val="24"/>
          <w:szCs w:val="24"/>
        </w:rPr>
      </w:pPr>
      <w:r w:rsidRPr="00337705">
        <w:rPr>
          <w:rFonts w:ascii="Arial" w:hAnsi="Arial" w:cs="Arial"/>
          <w:b/>
          <w:sz w:val="24"/>
          <w:szCs w:val="24"/>
        </w:rPr>
        <w:t>Empresas Industriales, Comerciales y Servicios:</w:t>
      </w:r>
    </w:p>
    <w:p w:rsidR="00185F9D" w:rsidRPr="00337705" w:rsidRDefault="00185F9D" w:rsidP="00185F9D">
      <w:pPr>
        <w:pStyle w:val="Prrafodelista"/>
        <w:numPr>
          <w:ilvl w:val="0"/>
          <w:numId w:val="2"/>
        </w:numPr>
        <w:jc w:val="both"/>
        <w:rPr>
          <w:rFonts w:ascii="Arial" w:hAnsi="Arial" w:cs="Arial"/>
          <w:sz w:val="24"/>
          <w:szCs w:val="24"/>
        </w:rPr>
      </w:pPr>
      <w:r w:rsidRPr="00337705">
        <w:rPr>
          <w:rFonts w:ascii="Arial" w:hAnsi="Arial" w:cs="Arial"/>
          <w:sz w:val="24"/>
          <w:szCs w:val="24"/>
        </w:rPr>
        <w:t>Costo según última compra (Art. 143 literal a) Código Tributario).</w:t>
      </w:r>
    </w:p>
    <w:p w:rsidR="00185F9D" w:rsidRPr="00337705" w:rsidRDefault="00185F9D" w:rsidP="00185F9D">
      <w:pPr>
        <w:pStyle w:val="Prrafodelista"/>
        <w:numPr>
          <w:ilvl w:val="0"/>
          <w:numId w:val="2"/>
        </w:numPr>
        <w:jc w:val="both"/>
        <w:rPr>
          <w:rFonts w:ascii="Arial" w:hAnsi="Arial" w:cs="Arial"/>
          <w:sz w:val="24"/>
          <w:szCs w:val="24"/>
        </w:rPr>
      </w:pPr>
      <w:r w:rsidRPr="00337705">
        <w:rPr>
          <w:rFonts w:ascii="Arial" w:hAnsi="Arial" w:cs="Arial"/>
          <w:sz w:val="24"/>
          <w:szCs w:val="24"/>
        </w:rPr>
        <w:t>Costo promedio por aligación directa (Art. 143 literal b) Código Tributario).</w:t>
      </w:r>
    </w:p>
    <w:p w:rsidR="00185F9D" w:rsidRPr="00337705" w:rsidRDefault="00185F9D" w:rsidP="00185F9D">
      <w:pPr>
        <w:pStyle w:val="Prrafodelista"/>
        <w:numPr>
          <w:ilvl w:val="0"/>
          <w:numId w:val="2"/>
        </w:numPr>
        <w:jc w:val="both"/>
        <w:rPr>
          <w:rFonts w:ascii="Arial" w:hAnsi="Arial" w:cs="Arial"/>
          <w:sz w:val="24"/>
          <w:szCs w:val="24"/>
        </w:rPr>
      </w:pPr>
      <w:r w:rsidRPr="00337705">
        <w:rPr>
          <w:rFonts w:ascii="Arial" w:hAnsi="Arial" w:cs="Arial"/>
          <w:sz w:val="24"/>
          <w:szCs w:val="24"/>
        </w:rPr>
        <w:t xml:space="preserve"> Costo promedio (Art. 143 literal c) Código Tributario).</w:t>
      </w:r>
    </w:p>
    <w:p w:rsidR="00185F9D" w:rsidRPr="00337705" w:rsidRDefault="00185F9D" w:rsidP="00185F9D">
      <w:pPr>
        <w:pStyle w:val="Prrafodelista"/>
        <w:numPr>
          <w:ilvl w:val="0"/>
          <w:numId w:val="2"/>
        </w:numPr>
        <w:jc w:val="both"/>
        <w:rPr>
          <w:rFonts w:ascii="Arial" w:hAnsi="Arial" w:cs="Arial"/>
          <w:sz w:val="24"/>
          <w:szCs w:val="24"/>
        </w:rPr>
      </w:pPr>
      <w:r w:rsidRPr="00337705">
        <w:rPr>
          <w:rFonts w:ascii="Arial" w:hAnsi="Arial" w:cs="Arial"/>
          <w:sz w:val="24"/>
          <w:szCs w:val="24"/>
        </w:rPr>
        <w:t xml:space="preserve"> Primeras Entradas Primeras Salidas (Art. 143 literal d) Código Tributario).</w:t>
      </w:r>
    </w:p>
    <w:p w:rsidR="00185F9D" w:rsidRPr="00337705" w:rsidRDefault="00185F9D" w:rsidP="00185F9D">
      <w:pPr>
        <w:jc w:val="both"/>
        <w:rPr>
          <w:rFonts w:ascii="Arial" w:hAnsi="Arial" w:cs="Arial"/>
          <w:b/>
          <w:sz w:val="24"/>
          <w:szCs w:val="24"/>
        </w:rPr>
      </w:pPr>
    </w:p>
    <w:p w:rsidR="00185F9D" w:rsidRPr="00337705" w:rsidRDefault="00185F9D" w:rsidP="00185F9D">
      <w:pPr>
        <w:jc w:val="both"/>
        <w:rPr>
          <w:rFonts w:ascii="Arial" w:hAnsi="Arial" w:cs="Arial"/>
          <w:b/>
          <w:sz w:val="24"/>
          <w:szCs w:val="24"/>
        </w:rPr>
      </w:pPr>
      <w:r w:rsidRPr="00337705">
        <w:rPr>
          <w:rFonts w:ascii="Arial" w:hAnsi="Arial" w:cs="Arial"/>
          <w:b/>
          <w:sz w:val="24"/>
          <w:szCs w:val="24"/>
        </w:rPr>
        <w:t>Infracción y Sanciones</w:t>
      </w:r>
    </w:p>
    <w:p w:rsidR="00185F9D" w:rsidRPr="00337705" w:rsidRDefault="00185F9D" w:rsidP="00185F9D">
      <w:pPr>
        <w:jc w:val="both"/>
        <w:rPr>
          <w:rFonts w:ascii="Arial" w:hAnsi="Arial" w:cs="Arial"/>
          <w:sz w:val="24"/>
          <w:szCs w:val="24"/>
        </w:rPr>
      </w:pPr>
      <w:r w:rsidRPr="00337705">
        <w:rPr>
          <w:rFonts w:ascii="Arial" w:hAnsi="Arial" w:cs="Arial"/>
          <w:sz w:val="24"/>
          <w:szCs w:val="24"/>
        </w:rPr>
        <w:t>se considera una infracción la violación a cualquiera de las obligaciones establecidas en las leyes tributarias, conllevando cada una de ellas una sanción por incumplimiento (Art. 226 CT), el incumplimiento de cada obligación tributaria constituye una infracción independiente, por lo que se sanciona de forma individual y se aplicara sanciones especifica (Art. 227 CT).</w:t>
      </w:r>
    </w:p>
    <w:p w:rsidR="00185F9D" w:rsidRPr="00337705" w:rsidRDefault="00185F9D" w:rsidP="00185F9D">
      <w:pPr>
        <w:jc w:val="both"/>
        <w:rPr>
          <w:rFonts w:ascii="Arial" w:hAnsi="Arial" w:cs="Arial"/>
          <w:sz w:val="24"/>
          <w:szCs w:val="24"/>
        </w:rPr>
      </w:pPr>
      <w:r w:rsidRPr="00337705">
        <w:rPr>
          <w:rFonts w:ascii="Arial" w:hAnsi="Arial" w:cs="Arial"/>
          <w:sz w:val="24"/>
          <w:szCs w:val="24"/>
        </w:rPr>
        <w:t xml:space="preserve">Es responsable de la infracción el sujeto pasivo de las obligaciones establecidas en las leyes tributarias respectivas, que no las cumplan en el tiempo y forma </w:t>
      </w:r>
      <w:r w:rsidRPr="00337705">
        <w:rPr>
          <w:rFonts w:ascii="Arial" w:hAnsi="Arial" w:cs="Arial"/>
          <w:sz w:val="24"/>
          <w:szCs w:val="24"/>
        </w:rPr>
        <w:lastRenderedPageBreak/>
        <w:t>debida, si en una obligación incumplida hubiere otros sujetos involucrados, cada uno de ellos será responsable de la infracción y se le aplicará individualmente la respectiva sanción (Art. 230 CT),</w:t>
      </w:r>
    </w:p>
    <w:p w:rsidR="00185F9D" w:rsidRPr="00337705" w:rsidRDefault="00185F9D" w:rsidP="00185F9D">
      <w:pPr>
        <w:jc w:val="both"/>
        <w:rPr>
          <w:rFonts w:ascii="Arial" w:hAnsi="Arial" w:cs="Arial"/>
          <w:sz w:val="24"/>
          <w:szCs w:val="24"/>
        </w:rPr>
      </w:pPr>
    </w:p>
    <w:p w:rsidR="00185F9D" w:rsidRPr="00337705" w:rsidRDefault="00185F9D" w:rsidP="00185F9D">
      <w:pPr>
        <w:tabs>
          <w:tab w:val="left" w:pos="5010"/>
        </w:tabs>
        <w:jc w:val="both"/>
        <w:rPr>
          <w:rFonts w:ascii="Arial" w:hAnsi="Arial" w:cs="Arial"/>
          <w:b/>
          <w:sz w:val="24"/>
          <w:szCs w:val="24"/>
        </w:rPr>
      </w:pPr>
      <w:r w:rsidRPr="00337705">
        <w:rPr>
          <w:rFonts w:ascii="Arial" w:hAnsi="Arial" w:cs="Arial"/>
          <w:b/>
          <w:sz w:val="24"/>
          <w:szCs w:val="24"/>
        </w:rPr>
        <w:t>Métodos de Extinción de Obligaciones Tributarias.</w:t>
      </w:r>
      <w:r w:rsidRPr="00337705">
        <w:rPr>
          <w:rFonts w:ascii="Arial" w:hAnsi="Arial" w:cs="Arial"/>
          <w:b/>
          <w:sz w:val="24"/>
          <w:szCs w:val="24"/>
        </w:rPr>
        <w:tab/>
      </w:r>
    </w:p>
    <w:p w:rsidR="00185F9D" w:rsidRPr="00337705" w:rsidRDefault="00185F9D" w:rsidP="00185F9D">
      <w:pPr>
        <w:tabs>
          <w:tab w:val="left" w:pos="5010"/>
        </w:tabs>
        <w:jc w:val="both"/>
        <w:rPr>
          <w:rFonts w:ascii="Arial" w:hAnsi="Arial" w:cs="Arial"/>
          <w:sz w:val="24"/>
          <w:szCs w:val="24"/>
        </w:rPr>
      </w:pPr>
      <w:r w:rsidRPr="00337705">
        <w:rPr>
          <w:rFonts w:ascii="Arial" w:hAnsi="Arial" w:cs="Arial"/>
          <w:sz w:val="24"/>
          <w:szCs w:val="24"/>
        </w:rPr>
        <w:t>Las obligaciones tributarias se extinguen de la manera siguiente:</w:t>
      </w:r>
    </w:p>
    <w:p w:rsidR="00185F9D" w:rsidRPr="00337705" w:rsidRDefault="00185F9D" w:rsidP="00185F9D">
      <w:pPr>
        <w:pStyle w:val="Prrafodelista"/>
        <w:numPr>
          <w:ilvl w:val="0"/>
          <w:numId w:val="3"/>
        </w:numPr>
        <w:tabs>
          <w:tab w:val="left" w:pos="5010"/>
        </w:tabs>
        <w:jc w:val="both"/>
        <w:rPr>
          <w:rFonts w:ascii="Arial" w:hAnsi="Arial" w:cs="Arial"/>
          <w:sz w:val="24"/>
          <w:szCs w:val="24"/>
        </w:rPr>
      </w:pPr>
      <w:r w:rsidRPr="00337705">
        <w:rPr>
          <w:rFonts w:ascii="Arial" w:hAnsi="Arial" w:cs="Arial"/>
          <w:sz w:val="24"/>
          <w:szCs w:val="24"/>
        </w:rPr>
        <w:t>Pago.</w:t>
      </w:r>
    </w:p>
    <w:p w:rsidR="00185F9D" w:rsidRPr="00337705" w:rsidRDefault="00185F9D" w:rsidP="00185F9D">
      <w:pPr>
        <w:pStyle w:val="Prrafodelista"/>
        <w:numPr>
          <w:ilvl w:val="0"/>
          <w:numId w:val="3"/>
        </w:numPr>
        <w:tabs>
          <w:tab w:val="left" w:pos="5010"/>
        </w:tabs>
        <w:jc w:val="both"/>
        <w:rPr>
          <w:rFonts w:ascii="Arial" w:hAnsi="Arial" w:cs="Arial"/>
          <w:sz w:val="24"/>
          <w:szCs w:val="24"/>
        </w:rPr>
      </w:pPr>
      <w:r w:rsidRPr="00337705">
        <w:rPr>
          <w:rFonts w:ascii="Arial" w:hAnsi="Arial" w:cs="Arial"/>
          <w:sz w:val="24"/>
          <w:szCs w:val="24"/>
        </w:rPr>
        <w:t>Compensación.</w:t>
      </w:r>
    </w:p>
    <w:p w:rsidR="00185F9D" w:rsidRPr="00337705" w:rsidRDefault="00185F9D" w:rsidP="00185F9D">
      <w:pPr>
        <w:pStyle w:val="Prrafodelista"/>
        <w:numPr>
          <w:ilvl w:val="0"/>
          <w:numId w:val="3"/>
        </w:numPr>
        <w:tabs>
          <w:tab w:val="left" w:pos="5010"/>
        </w:tabs>
        <w:jc w:val="both"/>
        <w:rPr>
          <w:rFonts w:ascii="Arial" w:hAnsi="Arial" w:cs="Arial"/>
          <w:sz w:val="24"/>
          <w:szCs w:val="24"/>
        </w:rPr>
      </w:pPr>
      <w:r w:rsidRPr="00337705">
        <w:rPr>
          <w:rFonts w:ascii="Arial" w:hAnsi="Arial" w:cs="Arial"/>
          <w:sz w:val="24"/>
          <w:szCs w:val="24"/>
        </w:rPr>
        <w:t>Confusión.</w:t>
      </w:r>
    </w:p>
    <w:p w:rsidR="00185F9D" w:rsidRPr="00337705" w:rsidRDefault="00185F9D" w:rsidP="00185F9D">
      <w:pPr>
        <w:pStyle w:val="Prrafodelista"/>
        <w:numPr>
          <w:ilvl w:val="0"/>
          <w:numId w:val="3"/>
        </w:numPr>
        <w:tabs>
          <w:tab w:val="left" w:pos="5010"/>
        </w:tabs>
        <w:jc w:val="both"/>
        <w:rPr>
          <w:rFonts w:ascii="Arial" w:hAnsi="Arial" w:cs="Arial"/>
          <w:sz w:val="24"/>
          <w:szCs w:val="24"/>
        </w:rPr>
      </w:pPr>
      <w:r w:rsidRPr="00337705">
        <w:rPr>
          <w:rFonts w:ascii="Arial" w:hAnsi="Arial" w:cs="Arial"/>
          <w:sz w:val="24"/>
          <w:szCs w:val="24"/>
        </w:rPr>
        <w:t>Prescripción.</w:t>
      </w:r>
    </w:p>
    <w:p w:rsidR="00185F9D" w:rsidRPr="00337705" w:rsidRDefault="00185F9D" w:rsidP="00185F9D">
      <w:pPr>
        <w:tabs>
          <w:tab w:val="left" w:pos="5010"/>
        </w:tabs>
        <w:jc w:val="both"/>
        <w:rPr>
          <w:rFonts w:ascii="Arial" w:hAnsi="Arial" w:cs="Arial"/>
          <w:sz w:val="24"/>
          <w:szCs w:val="24"/>
        </w:rPr>
      </w:pPr>
    </w:p>
    <w:p w:rsidR="00185F9D" w:rsidRPr="00337705" w:rsidRDefault="00185F9D" w:rsidP="00185F9D">
      <w:pPr>
        <w:tabs>
          <w:tab w:val="left" w:pos="5010"/>
        </w:tabs>
        <w:jc w:val="both"/>
        <w:rPr>
          <w:rFonts w:ascii="Arial" w:hAnsi="Arial" w:cs="Arial"/>
          <w:sz w:val="24"/>
          <w:szCs w:val="24"/>
        </w:rPr>
      </w:pPr>
      <w:r w:rsidRPr="00337705">
        <w:rPr>
          <w:rFonts w:ascii="Arial" w:hAnsi="Arial" w:cs="Arial"/>
          <w:b/>
          <w:sz w:val="24"/>
          <w:szCs w:val="24"/>
        </w:rPr>
        <w:t>Compensación:</w:t>
      </w:r>
      <w:r w:rsidRPr="00337705">
        <w:rPr>
          <w:rFonts w:ascii="Arial" w:hAnsi="Arial" w:cs="Arial"/>
          <w:sz w:val="24"/>
          <w:szCs w:val="24"/>
        </w:rPr>
        <w:t xml:space="preserve"> en el caso de contribuyentes que posean créditos tributarios, firmes, líquidos y exigibles podrán solicitar la compensación de su deuda por medio de compensación de oficio o petición, siempre y cuando la Administración posea saldos a favor del contribuyente, comenzando por los más antiguos, sin importar el tributo del que procede.</w:t>
      </w:r>
    </w:p>
    <w:p w:rsidR="00337C1F" w:rsidRDefault="00337C1F">
      <w:bookmarkStart w:id="0" w:name="_GoBack"/>
      <w:bookmarkEnd w:id="0"/>
    </w:p>
    <w:sectPr w:rsidR="00337C1F">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00971"/>
    <w:multiLevelType w:val="hybridMultilevel"/>
    <w:tmpl w:val="610A1FA6"/>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1BAA7A80"/>
    <w:multiLevelType w:val="hybridMultilevel"/>
    <w:tmpl w:val="BA4205B0"/>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3941383D"/>
    <w:multiLevelType w:val="hybridMultilevel"/>
    <w:tmpl w:val="7352ABC4"/>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F9D"/>
    <w:rsid w:val="00185F9D"/>
    <w:rsid w:val="00337C1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5F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5F9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85F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2309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Ize</dc:creator>
  <cp:lastModifiedBy>Ize</cp:lastModifiedBy>
  <cp:revision>1</cp:revision>
  <dcterms:created xsi:type="dcterms:W3CDTF">2013-10-12T04:00:00Z</dcterms:created>
  <dcterms:modified xsi:type="dcterms:W3CDTF">2013-10-12T04:00:00Z</dcterms:modified>
</cp:coreProperties>
</file>