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5F3" w:rsidRPr="00F135F3" w:rsidRDefault="00F135F3" w:rsidP="00F135F3">
      <w:pPr>
        <w:pStyle w:val="NormalWeb"/>
        <w:jc w:val="both"/>
        <w:rPr>
          <w:rFonts w:ascii="Arial Narrow" w:hAnsi="Arial Narrow" w:cs="Arial"/>
          <w:b/>
          <w:sz w:val="32"/>
          <w:szCs w:val="32"/>
        </w:rPr>
      </w:pPr>
      <w:r w:rsidRPr="00F135F3">
        <w:rPr>
          <w:rFonts w:ascii="Arial Narrow" w:hAnsi="Arial Narrow" w:cs="Arial"/>
          <w:b/>
          <w:sz w:val="32"/>
          <w:szCs w:val="32"/>
        </w:rPr>
        <w:t>Precios de transferencia</w:t>
      </w:r>
    </w:p>
    <w:p w:rsidR="00F135F3" w:rsidRPr="00F135F3" w:rsidRDefault="00F135F3" w:rsidP="00F135F3">
      <w:pPr>
        <w:pStyle w:val="NormalWeb"/>
        <w:jc w:val="both"/>
        <w:rPr>
          <w:rFonts w:ascii="Arial Narrow" w:hAnsi="Arial Narrow" w:cs="Arial"/>
        </w:rPr>
      </w:pPr>
      <w:r w:rsidRPr="00F135F3">
        <w:rPr>
          <w:rFonts w:ascii="Arial Narrow" w:hAnsi="Arial Narrow" w:cs="Arial"/>
        </w:rPr>
        <w:t>Para comprender  el panorama sobre </w:t>
      </w:r>
      <w:r w:rsidRPr="00F135F3">
        <w:rPr>
          <w:rStyle w:val="Textoennegrita"/>
          <w:rFonts w:ascii="Arial Narrow" w:hAnsi="Arial Narrow" w:cs="Arial"/>
          <w:b w:val="0"/>
        </w:rPr>
        <w:t>precios de transferencia</w:t>
      </w:r>
      <w:r w:rsidRPr="00F135F3">
        <w:rPr>
          <w:rFonts w:ascii="Arial Narrow" w:hAnsi="Arial Narrow" w:cs="Arial"/>
        </w:rPr>
        <w:t xml:space="preserve"> debemos señalar que la Organización para la Cooperación y el Desarrollo Económico, OCDE, define los </w:t>
      </w:r>
      <w:r w:rsidRPr="00F135F3">
        <w:rPr>
          <w:rStyle w:val="Textoennegrita"/>
          <w:rFonts w:ascii="Arial Narrow" w:hAnsi="Arial Narrow" w:cs="Arial"/>
          <w:b w:val="0"/>
        </w:rPr>
        <w:t>precios de transferencia</w:t>
      </w:r>
      <w:r w:rsidRPr="00F135F3">
        <w:rPr>
          <w:rFonts w:ascii="Arial Narrow" w:hAnsi="Arial Narrow" w:cs="Arial"/>
        </w:rPr>
        <w:t xml:space="preserve"> como: Los precios por los que una empresa transfiere bienes materiales o propiedad intangible o presta servicios a una empresa asociada.</w:t>
      </w:r>
    </w:p>
    <w:p w:rsidR="00F135F3" w:rsidRPr="00F135F3" w:rsidRDefault="00F135F3" w:rsidP="00F135F3">
      <w:pPr>
        <w:jc w:val="both"/>
        <w:rPr>
          <w:rFonts w:ascii="Arial Narrow" w:hAnsi="Arial Narrow"/>
          <w:b/>
          <w:sz w:val="24"/>
          <w:szCs w:val="24"/>
        </w:rPr>
      </w:pPr>
      <w:r w:rsidRPr="00F135F3">
        <w:rPr>
          <w:rFonts w:ascii="Arial Narrow" w:hAnsi="Arial Narrow"/>
          <w:b/>
          <w:sz w:val="24"/>
          <w:szCs w:val="24"/>
        </w:rPr>
        <w:t>Los precios de transferencia pueden visualizarse bajo dos enfoques:</w:t>
      </w:r>
    </w:p>
    <w:p w:rsidR="00F135F3" w:rsidRPr="00F135F3" w:rsidRDefault="00F135F3" w:rsidP="00F135F3">
      <w:pPr>
        <w:jc w:val="both"/>
        <w:rPr>
          <w:rFonts w:ascii="Arial Narrow" w:hAnsi="Arial Narrow"/>
          <w:sz w:val="24"/>
          <w:szCs w:val="24"/>
        </w:rPr>
      </w:pPr>
      <w:r w:rsidRPr="00F135F3">
        <w:rPr>
          <w:rFonts w:ascii="Arial Narrow" w:hAnsi="Arial Narrow"/>
          <w:b/>
          <w:sz w:val="24"/>
          <w:szCs w:val="24"/>
        </w:rPr>
        <w:t xml:space="preserve"> </w:t>
      </w:r>
      <w:r w:rsidRPr="00F135F3">
        <w:rPr>
          <w:rFonts w:ascii="Arial Narrow" w:hAnsi="Arial Narrow"/>
          <w:sz w:val="24"/>
          <w:szCs w:val="24"/>
        </w:rPr>
        <w:t xml:space="preserve">1. Para los grandes grupos multinacionales el objetivo es buscar territorios, jurisdicciones o países en donde puedan cumplir sus obligaciones fiscales con tasas reducidas, con bases gravables sumamente limitadas y de ser posible, con la más baja precisión fiscal, optimizando así sus utilidades.  </w:t>
      </w:r>
    </w:p>
    <w:p w:rsidR="00F135F3" w:rsidRPr="00F135F3" w:rsidRDefault="00F135F3" w:rsidP="00F135F3">
      <w:pPr>
        <w:jc w:val="both"/>
        <w:rPr>
          <w:rFonts w:ascii="Arial Narrow" w:hAnsi="Arial Narrow"/>
          <w:sz w:val="24"/>
          <w:szCs w:val="24"/>
        </w:rPr>
      </w:pPr>
      <w:r w:rsidRPr="00F135F3">
        <w:rPr>
          <w:rFonts w:ascii="Arial Narrow" w:hAnsi="Arial Narrow"/>
          <w:sz w:val="24"/>
          <w:szCs w:val="24"/>
        </w:rPr>
        <w:t>2. 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fuera de cualquier manipula</w:t>
      </w:r>
      <w:bookmarkStart w:id="0" w:name="_GoBack"/>
      <w:bookmarkEnd w:id="0"/>
      <w:r w:rsidRPr="00F135F3">
        <w:rPr>
          <w:rFonts w:ascii="Arial Narrow" w:hAnsi="Arial Narrow"/>
          <w:sz w:val="24"/>
          <w:szCs w:val="24"/>
        </w:rPr>
        <w:t>ción posible.</w:t>
      </w:r>
    </w:p>
    <w:p w:rsidR="00F135F3" w:rsidRPr="00F135F3" w:rsidRDefault="00F135F3" w:rsidP="00F135F3">
      <w:pPr>
        <w:jc w:val="both"/>
        <w:rPr>
          <w:rFonts w:ascii="Arial Narrow" w:hAnsi="Arial Narrow" w:cs="Times New Roman"/>
          <w:b/>
          <w:sz w:val="24"/>
          <w:szCs w:val="24"/>
          <w:lang w:val="es-MX"/>
        </w:rPr>
      </w:pPr>
      <w:r w:rsidRPr="00F135F3">
        <w:rPr>
          <w:rFonts w:ascii="Arial Narrow" w:hAnsi="Arial Narrow" w:cs="Times New Roman"/>
          <w:b/>
          <w:sz w:val="24"/>
          <w:szCs w:val="24"/>
          <w:lang w:val="es-MX"/>
        </w:rPr>
        <w:t>Aplicación de normativa, Contribuyente.</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Determinación de precios Art. 162 CT</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w:t>
      </w:r>
      <w:r w:rsidRPr="00F135F3">
        <w:rPr>
          <w:rFonts w:ascii="Arial Narrow" w:hAnsi="Arial Narrow" w:cs="Times New Roman"/>
          <w:sz w:val="24"/>
          <w:szCs w:val="24"/>
        </w:rPr>
        <w:t xml:space="preserve"> </w:t>
      </w:r>
      <w:r w:rsidRPr="00F135F3">
        <w:rPr>
          <w:rFonts w:ascii="Arial Narrow" w:hAnsi="Arial Narrow" w:cs="Times New Roman"/>
          <w:sz w:val="24"/>
          <w:szCs w:val="24"/>
          <w:lang w:val="es-MX"/>
        </w:rPr>
        <w:t>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cuando los contribuyentes incumplan las obligaciones reguladas en el inciso anterior, la administración tributaria de conformidad con lo dispuesto en los artículos199-a, 199-b, 199-c y 199-d del código tributario, determinará el valor de dichas operaciones o transacciones estableciendo el precio o monto de la contraprestación, considerando para esas operaciones los precios de mercado utilizados en transferencias de bienes o prestación de servicios de la misma especie, entre sujetos independientes.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Para efectos de este código y las leyes tributarias, se considerarán regímenes fiscales preferentes, de baja o nula tributación o paraísos fiscales, los que se encuentren en alguna de las siguientes situaciones:</w:t>
      </w:r>
    </w:p>
    <w:p w:rsidR="00F135F3" w:rsidRPr="00F135F3" w:rsidRDefault="00F135F3" w:rsidP="00F135F3">
      <w:pPr>
        <w:pStyle w:val="Prrafodelista"/>
        <w:numPr>
          <w:ilvl w:val="0"/>
          <w:numId w:val="2"/>
        </w:numPr>
        <w:jc w:val="both"/>
        <w:rPr>
          <w:rFonts w:ascii="Arial Narrow" w:hAnsi="Arial Narrow" w:cs="Times New Roman"/>
          <w:sz w:val="24"/>
          <w:szCs w:val="24"/>
          <w:lang w:val="es-MX"/>
        </w:rPr>
      </w:pPr>
      <w:r w:rsidRPr="00F135F3">
        <w:rPr>
          <w:rFonts w:ascii="Arial Narrow" w:hAnsi="Arial Narrow" w:cs="Times New Roman"/>
          <w:sz w:val="24"/>
          <w:szCs w:val="24"/>
          <w:lang w:val="es-MX"/>
        </w:rPr>
        <w:t xml:space="preserve">aquellos que no están gravados en el extranjero, o lo están con un impuesto sobre la renta calculado sobre ingresos o renta neta o imponible, inferior al 80% del impuesto sobre la renta que se causaría y pagaría en el salvador; </w:t>
      </w:r>
    </w:p>
    <w:p w:rsidR="00F135F3" w:rsidRPr="00F135F3" w:rsidRDefault="00F135F3" w:rsidP="00F135F3">
      <w:pPr>
        <w:pStyle w:val="Prrafodelista"/>
        <w:numPr>
          <w:ilvl w:val="0"/>
          <w:numId w:val="2"/>
        </w:numPr>
        <w:jc w:val="both"/>
        <w:rPr>
          <w:rFonts w:ascii="Arial Narrow" w:hAnsi="Arial Narrow" w:cs="Times New Roman"/>
          <w:sz w:val="24"/>
          <w:szCs w:val="24"/>
          <w:lang w:val="es-MX"/>
        </w:rPr>
      </w:pPr>
      <w:r w:rsidRPr="00F135F3">
        <w:rPr>
          <w:rFonts w:ascii="Arial Narrow" w:hAnsi="Arial Narrow" w:cs="Times New Roman"/>
          <w:sz w:val="24"/>
          <w:szCs w:val="24"/>
          <w:lang w:val="es-MX"/>
        </w:rPr>
        <w:lastRenderedPageBreak/>
        <w:t>los que clasifique la organización para la cooperación y el desarrollo económico (</w:t>
      </w:r>
      <w:proofErr w:type="spellStart"/>
      <w:r w:rsidRPr="00F135F3">
        <w:rPr>
          <w:rFonts w:ascii="Arial Narrow" w:hAnsi="Arial Narrow" w:cs="Times New Roman"/>
          <w:sz w:val="24"/>
          <w:szCs w:val="24"/>
          <w:lang w:val="es-MX"/>
        </w:rPr>
        <w:t>ocde</w:t>
      </w:r>
      <w:proofErr w:type="spellEnd"/>
      <w:r w:rsidRPr="00F135F3">
        <w:rPr>
          <w:rFonts w:ascii="Arial Narrow" w:hAnsi="Arial Narrow" w:cs="Times New Roman"/>
          <w:sz w:val="24"/>
          <w:szCs w:val="24"/>
          <w:lang w:val="es-MX"/>
        </w:rPr>
        <w:t>) y el grupo de acción financiera internacional (</w:t>
      </w:r>
      <w:proofErr w:type="spellStart"/>
      <w:r w:rsidRPr="00F135F3">
        <w:rPr>
          <w:rFonts w:ascii="Arial Narrow" w:hAnsi="Arial Narrow" w:cs="Times New Roman"/>
          <w:sz w:val="24"/>
          <w:szCs w:val="24"/>
          <w:lang w:val="es-MX"/>
        </w:rPr>
        <w:t>gafi</w:t>
      </w:r>
      <w:proofErr w:type="spellEnd"/>
      <w:r w:rsidRPr="00F135F3">
        <w:rPr>
          <w:rFonts w:ascii="Arial Narrow" w:hAnsi="Arial Narrow" w:cs="Times New Roman"/>
          <w:sz w:val="24"/>
          <w:szCs w:val="24"/>
          <w:lang w:val="es-MX"/>
        </w:rPr>
        <w:t xml:space="preserve">).  </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la administración tributaria deberá publicar en el sitio o página electrónica del ministerio de hacienda, el listado de los nombres de los países, estados o territorios que se enmarquen en los romanos anteriores, a más tardar en el mes de septiembre de cada año, el cual será vigente para el ejercicio fiscal siguiente al de su publicación.</w:t>
      </w:r>
    </w:p>
    <w:p w:rsidR="00F135F3" w:rsidRPr="00F135F3" w:rsidRDefault="00F135F3" w:rsidP="00F135F3">
      <w:pPr>
        <w:jc w:val="both"/>
        <w:rPr>
          <w:rFonts w:ascii="Arial Narrow" w:hAnsi="Arial Narrow" w:cs="Times New Roman"/>
          <w:b/>
          <w:sz w:val="24"/>
          <w:szCs w:val="24"/>
          <w:lang w:val="es-MX"/>
        </w:rPr>
      </w:pPr>
      <w:r w:rsidRPr="00F135F3">
        <w:rPr>
          <w:rFonts w:ascii="Arial Narrow" w:hAnsi="Arial Narrow" w:cs="Times New Roman"/>
          <w:b/>
          <w:sz w:val="24"/>
          <w:szCs w:val="24"/>
          <w:lang w:val="es-MX"/>
        </w:rPr>
        <w:t>Análisis de Comparabilidad Art. 199 d CT</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w:t>
      </w:r>
    </w:p>
    <w:p w:rsidR="00F135F3" w:rsidRPr="00F135F3" w:rsidRDefault="00F135F3" w:rsidP="00F135F3">
      <w:pPr>
        <w:pStyle w:val="Prrafodelista"/>
        <w:numPr>
          <w:ilvl w:val="0"/>
          <w:numId w:val="1"/>
        </w:numPr>
        <w:jc w:val="both"/>
        <w:rPr>
          <w:rFonts w:ascii="Arial Narrow" w:hAnsi="Arial Narrow" w:cs="Times New Roman"/>
          <w:sz w:val="24"/>
          <w:szCs w:val="24"/>
          <w:lang w:val="es-MX"/>
        </w:rPr>
      </w:pPr>
      <w:r w:rsidRPr="00F135F3">
        <w:rPr>
          <w:rFonts w:ascii="Arial Narrow" w:hAnsi="Arial Narrow" w:cs="Times New Roman"/>
          <w:sz w:val="24"/>
          <w:szCs w:val="24"/>
          <w:lang w:val="es-MX"/>
        </w:rPr>
        <w:t xml:space="preserve">características de las operaciones efectuadas, sean estas transferencias de bienes materiales, bienes intangibles o prestación de servicios. </w:t>
      </w:r>
    </w:p>
    <w:p w:rsidR="00F135F3" w:rsidRPr="00F135F3" w:rsidRDefault="00F135F3" w:rsidP="00F135F3">
      <w:pPr>
        <w:pStyle w:val="Prrafodelista"/>
        <w:numPr>
          <w:ilvl w:val="0"/>
          <w:numId w:val="1"/>
        </w:numPr>
        <w:jc w:val="both"/>
        <w:rPr>
          <w:rFonts w:ascii="Arial Narrow" w:hAnsi="Arial Narrow" w:cs="Times New Roman"/>
          <w:sz w:val="24"/>
          <w:szCs w:val="24"/>
          <w:lang w:val="es-MX"/>
        </w:rPr>
      </w:pPr>
      <w:r w:rsidRPr="00F135F3">
        <w:rPr>
          <w:rFonts w:ascii="Arial Narrow" w:hAnsi="Arial Narrow" w:cs="Times New Roman"/>
          <w:sz w:val="24"/>
          <w:szCs w:val="24"/>
          <w:lang w:val="es-MX"/>
        </w:rPr>
        <w:t>análisis de las funciones o actividades desempeñadas, incluyendo los activos utilizados y riesgos asumidos en las operaciones de cada una de las partes involucradas en la operación.</w:t>
      </w:r>
    </w:p>
    <w:p w:rsidR="00F135F3" w:rsidRPr="00F135F3" w:rsidRDefault="00F135F3" w:rsidP="00F135F3">
      <w:pPr>
        <w:pStyle w:val="Prrafodelista"/>
        <w:numPr>
          <w:ilvl w:val="0"/>
          <w:numId w:val="1"/>
        </w:numPr>
        <w:jc w:val="both"/>
        <w:rPr>
          <w:rFonts w:ascii="Arial Narrow" w:hAnsi="Arial Narrow" w:cs="Times New Roman"/>
          <w:sz w:val="24"/>
          <w:szCs w:val="24"/>
          <w:lang w:val="es-MX"/>
        </w:rPr>
      </w:pPr>
      <w:r w:rsidRPr="00F135F3">
        <w:rPr>
          <w:rFonts w:ascii="Arial Narrow" w:hAnsi="Arial Narrow" w:cs="Times New Roman"/>
          <w:sz w:val="24"/>
          <w:szCs w:val="24"/>
          <w:lang w:val="es-MX"/>
        </w:rPr>
        <w:t xml:space="preserve"> términos contractuales o los que no se encuentren expresamente en ningún contrato, con los que realmente se cumplen las transacciones entre partes relacionadas e independientes.</w:t>
      </w:r>
    </w:p>
    <w:p w:rsidR="00F135F3" w:rsidRPr="00F135F3" w:rsidRDefault="00F135F3" w:rsidP="00F135F3">
      <w:pPr>
        <w:pStyle w:val="Prrafodelista"/>
        <w:numPr>
          <w:ilvl w:val="0"/>
          <w:numId w:val="1"/>
        </w:numPr>
        <w:jc w:val="both"/>
        <w:rPr>
          <w:rFonts w:ascii="Arial Narrow" w:hAnsi="Arial Narrow" w:cs="Times New Roman"/>
          <w:sz w:val="24"/>
          <w:szCs w:val="24"/>
          <w:lang w:val="es-MX"/>
        </w:rPr>
      </w:pPr>
      <w:r w:rsidRPr="00F135F3">
        <w:rPr>
          <w:rFonts w:ascii="Arial Narrow" w:hAnsi="Arial Narrow" w:cs="Times New Roman"/>
          <w:sz w:val="24"/>
          <w:szCs w:val="24"/>
          <w:lang w:val="es-MX"/>
        </w:rPr>
        <w:t>circunstancias económicas.</w:t>
      </w:r>
    </w:p>
    <w:p w:rsidR="00F135F3" w:rsidRPr="00F135F3" w:rsidRDefault="00F135F3" w:rsidP="00F135F3">
      <w:pPr>
        <w:pStyle w:val="Prrafodelista"/>
        <w:numPr>
          <w:ilvl w:val="0"/>
          <w:numId w:val="1"/>
        </w:numPr>
        <w:jc w:val="both"/>
        <w:rPr>
          <w:rFonts w:ascii="Arial Narrow" w:hAnsi="Arial Narrow" w:cs="Times New Roman"/>
          <w:sz w:val="24"/>
          <w:szCs w:val="24"/>
          <w:lang w:val="es-MX"/>
        </w:rPr>
      </w:pPr>
      <w:r w:rsidRPr="00F135F3">
        <w:rPr>
          <w:rFonts w:ascii="Arial Narrow" w:hAnsi="Arial Narrow" w:cs="Times New Roman"/>
          <w:sz w:val="24"/>
          <w:szCs w:val="24"/>
          <w:lang w:val="es-MX"/>
        </w:rPr>
        <w:t>estrategias de negocios.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En caso de existir diferencias relevantes entre las características económicas de las operaciones, que afecten de manera significativa el precio o monto de la contraprestación, éstas deberán eliminarse en virtud de ajustes razonables que permitan un mayor grado de comparabilidad.</w:t>
      </w:r>
    </w:p>
    <w:p w:rsidR="00F135F3" w:rsidRPr="00F135F3" w:rsidRDefault="00F135F3" w:rsidP="00F135F3">
      <w:pPr>
        <w:jc w:val="both"/>
        <w:rPr>
          <w:rFonts w:ascii="Arial Narrow" w:hAnsi="Arial Narrow" w:cs="Times New Roman"/>
          <w:sz w:val="24"/>
          <w:szCs w:val="24"/>
          <w:lang w:val="es-MX"/>
        </w:rPr>
      </w:pPr>
    </w:p>
    <w:p w:rsidR="00F135F3" w:rsidRPr="00F135F3" w:rsidRDefault="00F135F3" w:rsidP="00F135F3">
      <w:pPr>
        <w:jc w:val="both"/>
        <w:rPr>
          <w:rFonts w:ascii="Arial Narrow" w:hAnsi="Arial Narrow" w:cs="Times New Roman"/>
          <w:sz w:val="24"/>
          <w:szCs w:val="24"/>
          <w:lang w:val="es-MX"/>
        </w:rPr>
      </w:pP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A los fines de la eliminación de las diferencias resultantes de la aplicación de los criterios de comparabilidad, deben tenerse en cuenta, entre otros, los siguientes elementos: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i) plazo de pago.</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ii) cantidades negociadas.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iii) propaganda y publicidad.</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iv) costo de intermediación.</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v) acondicionamiento, flete y seguro.</w:t>
      </w:r>
    </w:p>
    <w:p w:rsidR="00F135F3" w:rsidRPr="00F135F3" w:rsidRDefault="00F135F3" w:rsidP="00F135F3">
      <w:pPr>
        <w:jc w:val="both"/>
        <w:rPr>
          <w:rFonts w:ascii="Arial Narrow" w:hAnsi="Arial Narrow" w:cs="Times New Roman"/>
          <w:sz w:val="24"/>
          <w:szCs w:val="24"/>
          <w:lang w:val="es-MX"/>
        </w:rPr>
      </w:pPr>
      <w:proofErr w:type="gramStart"/>
      <w:r w:rsidRPr="00F135F3">
        <w:rPr>
          <w:rFonts w:ascii="Arial Narrow" w:hAnsi="Arial Narrow" w:cs="Times New Roman"/>
          <w:sz w:val="24"/>
          <w:szCs w:val="24"/>
          <w:lang w:val="es-MX"/>
        </w:rPr>
        <w:t>vi</w:t>
      </w:r>
      <w:proofErr w:type="gramEnd"/>
      <w:r w:rsidRPr="00F135F3">
        <w:rPr>
          <w:rFonts w:ascii="Arial Narrow" w:hAnsi="Arial Narrow" w:cs="Times New Roman"/>
          <w:sz w:val="24"/>
          <w:szCs w:val="24"/>
          <w:lang w:val="es-MX"/>
        </w:rPr>
        <w:t>) naturaleza física y de contenido.</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lastRenderedPageBreak/>
        <w:t>vii) diferencias de fecha de celebración de las transacciones.</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 xml:space="preserve">Los factores de comparabilidad y los elementos a considerar para definir los criterios y efectuar los ajustes de las diferencias resultantes, se desarrollaran en el reglamento de aplicación del presente código. </w:t>
      </w:r>
    </w:p>
    <w:p w:rsidR="00F135F3" w:rsidRPr="00F135F3" w:rsidRDefault="00F135F3" w:rsidP="00F135F3">
      <w:pPr>
        <w:jc w:val="both"/>
        <w:rPr>
          <w:rFonts w:ascii="Arial Narrow" w:hAnsi="Arial Narrow" w:cs="Times New Roman"/>
          <w:sz w:val="24"/>
          <w:szCs w:val="24"/>
          <w:lang w:val="es-MX"/>
        </w:rPr>
      </w:pPr>
      <w:r w:rsidRPr="00F135F3">
        <w:rPr>
          <w:rFonts w:ascii="Arial Narrow" w:hAnsi="Arial Narrow" w:cs="Times New Roman"/>
          <w:sz w:val="24"/>
          <w:szCs w:val="24"/>
          <w:lang w:val="es-MX"/>
        </w:rPr>
        <w:t>Las operaciones con sujetos domiciliados, constituidos o ubicados en países, estados o territorios con regímenes fiscales preferentes, de baja o nula tributación o paraísos fiscales, no constituyen operaciones entre partes independientes.</w:t>
      </w:r>
    </w:p>
    <w:p w:rsidR="00F135F3" w:rsidRPr="00F135F3" w:rsidRDefault="00F135F3" w:rsidP="00F135F3">
      <w:pPr>
        <w:jc w:val="both"/>
        <w:rPr>
          <w:rFonts w:ascii="Arial Narrow" w:hAnsi="Arial Narrow" w:cs="Times New Roman"/>
          <w:sz w:val="24"/>
          <w:szCs w:val="24"/>
          <w:lang w:val="es-MX"/>
        </w:rPr>
      </w:pPr>
    </w:p>
    <w:p w:rsidR="00F135F3" w:rsidRPr="00F135F3" w:rsidRDefault="00F135F3" w:rsidP="00F135F3">
      <w:pPr>
        <w:pStyle w:val="Ttulo2"/>
        <w:rPr>
          <w:rFonts w:ascii="Arial Narrow" w:hAnsi="Arial Narrow"/>
          <w:i w:val="0"/>
          <w:sz w:val="24"/>
          <w:szCs w:val="24"/>
        </w:rPr>
      </w:pPr>
      <w:r w:rsidRPr="00F135F3">
        <w:rPr>
          <w:rFonts w:ascii="Arial Narrow" w:hAnsi="Arial Narrow"/>
          <w:i w:val="0"/>
          <w:sz w:val="24"/>
          <w:szCs w:val="24"/>
        </w:rPr>
        <w:t>Métodos para Determinar los precios de Transferencia</w:t>
      </w:r>
    </w:p>
    <w:p w:rsidR="00F135F3" w:rsidRPr="00F135F3" w:rsidRDefault="00F135F3" w:rsidP="00F135F3">
      <w:pPr>
        <w:pStyle w:val="NormalWeb"/>
        <w:rPr>
          <w:rFonts w:ascii="Arial Narrow" w:hAnsi="Arial Narrow" w:cs="Arial"/>
        </w:rPr>
      </w:pPr>
      <w:r w:rsidRPr="00F135F3">
        <w:rPr>
          <w:rStyle w:val="Textoennegrita"/>
          <w:rFonts w:ascii="Arial Narrow" w:hAnsi="Arial Narrow" w:cs="Arial"/>
        </w:rPr>
        <w:t>Precio Comparable No Controlado:</w:t>
      </w:r>
      <w:r w:rsidRPr="00F135F3">
        <w:rPr>
          <w:rFonts w:ascii="Arial Narrow" w:hAnsi="Arial Narrow" w:cs="Arial"/>
        </w:rPr>
        <w:t xml:space="preserve"> </w:t>
      </w:r>
    </w:p>
    <w:p w:rsidR="00F135F3" w:rsidRPr="00F135F3" w:rsidRDefault="00F135F3" w:rsidP="00F135F3">
      <w:pPr>
        <w:pStyle w:val="NormalWeb"/>
        <w:rPr>
          <w:rFonts w:ascii="Arial Narrow" w:hAnsi="Arial Narrow" w:cs="Arial"/>
        </w:rPr>
      </w:pPr>
      <w:r w:rsidRPr="00F135F3">
        <w:rPr>
          <w:rFonts w:ascii="Arial Narrow" w:hAnsi="Arial Narrow" w:cs="Arial"/>
        </w:rPr>
        <w:t xml:space="preserve">“Compara el precio pactado entre partes relacionadas con </w:t>
      </w:r>
      <w:proofErr w:type="spellStart"/>
      <w:r w:rsidRPr="00F135F3">
        <w:rPr>
          <w:rFonts w:ascii="Arial Narrow" w:hAnsi="Arial Narrow" w:cs="Arial"/>
        </w:rPr>
        <w:t>elprecio</w:t>
      </w:r>
      <w:proofErr w:type="spellEnd"/>
      <w:r w:rsidRPr="00F135F3">
        <w:rPr>
          <w:rFonts w:ascii="Arial Narrow" w:hAnsi="Arial Narrow" w:cs="Arial"/>
        </w:rPr>
        <w:t xml:space="preserve"> pactado por partes independientes en operaciones similares”</w:t>
      </w:r>
    </w:p>
    <w:p w:rsidR="00F135F3" w:rsidRPr="00F135F3" w:rsidRDefault="00F135F3" w:rsidP="00F135F3">
      <w:pPr>
        <w:pStyle w:val="NormalWeb"/>
        <w:rPr>
          <w:rFonts w:ascii="Arial Narrow" w:hAnsi="Arial Narrow" w:cs="Arial"/>
        </w:rPr>
      </w:pPr>
      <w:r w:rsidRPr="00F135F3">
        <w:rPr>
          <w:rStyle w:val="Textoennegrita"/>
          <w:rFonts w:ascii="Arial Narrow" w:hAnsi="Arial Narrow" w:cs="Arial"/>
        </w:rPr>
        <w:t>Precio de reventa:</w:t>
      </w:r>
      <w:r w:rsidRPr="00F135F3">
        <w:rPr>
          <w:rFonts w:ascii="Arial Narrow" w:hAnsi="Arial Narrow" w:cs="Arial"/>
        </w:rPr>
        <w:t xml:space="preserve"> </w:t>
      </w:r>
    </w:p>
    <w:p w:rsidR="00F135F3" w:rsidRPr="00F135F3" w:rsidRDefault="00F135F3" w:rsidP="00F135F3">
      <w:pPr>
        <w:pStyle w:val="NormalWeb"/>
        <w:rPr>
          <w:rFonts w:ascii="Arial Narrow" w:hAnsi="Arial Narrow" w:cs="Arial"/>
        </w:rPr>
      </w:pPr>
      <w:r w:rsidRPr="00F135F3">
        <w:rPr>
          <w:rFonts w:ascii="Arial Narrow" w:hAnsi="Arial Narrow" w:cs="Arial"/>
        </w:rPr>
        <w:t xml:space="preserve">“Parte del precio al que revende una parte relacionada un bien o servicio a una parte independiente” </w:t>
      </w:r>
    </w:p>
    <w:p w:rsidR="00F135F3" w:rsidRPr="00F135F3" w:rsidRDefault="00F135F3" w:rsidP="00F135F3">
      <w:pPr>
        <w:pStyle w:val="NormalWeb"/>
        <w:rPr>
          <w:rFonts w:ascii="Arial Narrow" w:hAnsi="Arial Narrow" w:cs="Arial"/>
        </w:rPr>
      </w:pPr>
      <w:r w:rsidRPr="00F135F3">
        <w:rPr>
          <w:rStyle w:val="Textoennegrita"/>
          <w:rFonts w:ascii="Arial Narrow" w:hAnsi="Arial Narrow" w:cs="Arial"/>
        </w:rPr>
        <w:t>Costo adicionado:</w:t>
      </w:r>
      <w:r w:rsidRPr="00F135F3">
        <w:rPr>
          <w:rFonts w:ascii="Arial Narrow" w:hAnsi="Arial Narrow" w:cs="Arial"/>
        </w:rPr>
        <w:t xml:space="preserve"> </w:t>
      </w:r>
    </w:p>
    <w:p w:rsidR="00F135F3" w:rsidRPr="00F135F3" w:rsidRDefault="00F135F3" w:rsidP="00F135F3">
      <w:pPr>
        <w:pStyle w:val="NormalWeb"/>
        <w:rPr>
          <w:rFonts w:ascii="Arial Narrow" w:hAnsi="Arial Narrow" w:cs="Arial"/>
        </w:rPr>
      </w:pPr>
      <w:r w:rsidRPr="00F135F3">
        <w:rPr>
          <w:rFonts w:ascii="Arial Narrow" w:hAnsi="Arial Narrow" w:cs="Arial"/>
        </w:rPr>
        <w:t xml:space="preserve">“Considera los costos incurridos en la producción de un bien </w:t>
      </w:r>
      <w:proofErr w:type="spellStart"/>
      <w:r w:rsidRPr="00F135F3">
        <w:rPr>
          <w:rFonts w:ascii="Arial Narrow" w:hAnsi="Arial Narrow" w:cs="Arial"/>
        </w:rPr>
        <w:t>oservicio</w:t>
      </w:r>
      <w:proofErr w:type="spellEnd"/>
      <w:r w:rsidRPr="00F135F3">
        <w:rPr>
          <w:rFonts w:ascii="Arial Narrow" w:hAnsi="Arial Narrow" w:cs="Arial"/>
        </w:rPr>
        <w:t xml:space="preserve"> y sobre los mismos aplica un margen de utilidad </w:t>
      </w:r>
      <w:proofErr w:type="spellStart"/>
      <w:r w:rsidRPr="00F135F3">
        <w:rPr>
          <w:rFonts w:ascii="Arial Narrow" w:hAnsi="Arial Narrow" w:cs="Arial"/>
        </w:rPr>
        <w:t>deacuerdo</w:t>
      </w:r>
      <w:proofErr w:type="spellEnd"/>
      <w:r w:rsidRPr="00F135F3">
        <w:rPr>
          <w:rFonts w:ascii="Arial Narrow" w:hAnsi="Arial Narrow" w:cs="Arial"/>
        </w:rPr>
        <w:t xml:space="preserve"> con las funciones desarrolladas.” </w:t>
      </w:r>
    </w:p>
    <w:p w:rsidR="00F135F3" w:rsidRPr="00F135F3" w:rsidRDefault="00F135F3" w:rsidP="00F135F3">
      <w:pPr>
        <w:pStyle w:val="NormalWeb"/>
        <w:rPr>
          <w:rFonts w:ascii="Arial Narrow" w:hAnsi="Arial Narrow" w:cs="Arial"/>
        </w:rPr>
      </w:pPr>
      <w:r w:rsidRPr="00F135F3">
        <w:rPr>
          <w:rStyle w:val="Textoennegrita"/>
          <w:rFonts w:ascii="Arial Narrow" w:hAnsi="Arial Narrow" w:cs="Arial"/>
        </w:rPr>
        <w:t xml:space="preserve">Repartición de Utilidades: </w:t>
      </w:r>
    </w:p>
    <w:p w:rsidR="00F135F3" w:rsidRPr="00F135F3" w:rsidRDefault="00F135F3" w:rsidP="00F135F3">
      <w:pPr>
        <w:pStyle w:val="NormalWeb"/>
        <w:rPr>
          <w:rFonts w:ascii="Arial Narrow" w:hAnsi="Arial Narrow" w:cs="Arial"/>
        </w:rPr>
      </w:pPr>
      <w:r w:rsidRPr="00F135F3">
        <w:rPr>
          <w:rFonts w:ascii="Arial Narrow" w:hAnsi="Arial Narrow" w:cs="Arial"/>
        </w:rPr>
        <w:t xml:space="preserve">“Consiste en dividir el beneficio generado por partes relacionadas en una transacción considerando el trabajo aportado por cada parte de forma similar a como lo hubieran asignado partes independientes actuando en conjunto” </w:t>
      </w:r>
    </w:p>
    <w:p w:rsidR="00F135F3" w:rsidRPr="00F135F3" w:rsidRDefault="00F135F3" w:rsidP="00F135F3">
      <w:pPr>
        <w:pStyle w:val="NormalWeb"/>
        <w:rPr>
          <w:rFonts w:ascii="Arial Narrow" w:hAnsi="Arial Narrow" w:cs="Arial"/>
        </w:rPr>
      </w:pPr>
      <w:r w:rsidRPr="00F135F3">
        <w:rPr>
          <w:rStyle w:val="Textoennegrita"/>
          <w:rFonts w:ascii="Arial Narrow" w:hAnsi="Arial Narrow" w:cs="Arial"/>
        </w:rPr>
        <w:t>Margen de utilidad transaccional neto:</w:t>
      </w:r>
    </w:p>
    <w:p w:rsidR="00F135F3" w:rsidRPr="00F135F3" w:rsidRDefault="00F135F3" w:rsidP="00F135F3">
      <w:pPr>
        <w:pStyle w:val="NormalWeb"/>
        <w:rPr>
          <w:rFonts w:ascii="Arial Narrow" w:hAnsi="Arial Narrow" w:cs="Arial"/>
        </w:rPr>
      </w:pPr>
      <w:r w:rsidRPr="00F135F3">
        <w:rPr>
          <w:rFonts w:ascii="Arial Narrow" w:hAnsi="Arial Narrow" w:cs="Arial"/>
        </w:rPr>
        <w:t>“Compara los márgenes netos que obtienen empresas independientes que desarrollen funciones similares a las realizadas por partes relacionadas".</w:t>
      </w:r>
    </w:p>
    <w:p w:rsidR="00F135F3" w:rsidRPr="00F135F3" w:rsidRDefault="00F135F3" w:rsidP="00F135F3">
      <w:pPr>
        <w:rPr>
          <w:rStyle w:val="Textoennegrita"/>
          <w:rFonts w:ascii="Arial Narrow" w:hAnsi="Arial Narrow" w:cs="Arial"/>
          <w:sz w:val="24"/>
          <w:szCs w:val="24"/>
        </w:rPr>
      </w:pPr>
    </w:p>
    <w:p w:rsidR="00146D87" w:rsidRPr="00F135F3" w:rsidRDefault="00146D87" w:rsidP="00F135F3">
      <w:pPr>
        <w:rPr>
          <w:rFonts w:ascii="Arial Narrow" w:hAnsi="Arial Narrow"/>
          <w:sz w:val="24"/>
          <w:szCs w:val="24"/>
        </w:rPr>
      </w:pPr>
    </w:p>
    <w:sectPr w:rsidR="00146D87" w:rsidRPr="00F135F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70880"/>
    <w:multiLevelType w:val="hybridMultilevel"/>
    <w:tmpl w:val="85C43DEE"/>
    <w:lvl w:ilvl="0" w:tplc="440A0017">
      <w:start w:val="1"/>
      <w:numFmt w:val="lowerLetter"/>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
    <w:nsid w:val="413A035E"/>
    <w:multiLevelType w:val="hybridMultilevel"/>
    <w:tmpl w:val="79AC171E"/>
    <w:lvl w:ilvl="0" w:tplc="9850BB72">
      <w:start w:val="1"/>
      <w:numFmt w:val="lowerRoman"/>
      <w:lvlText w:val="%1."/>
      <w:lvlJc w:val="left"/>
      <w:pPr>
        <w:ind w:left="1080" w:hanging="72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EBD"/>
    <w:rsid w:val="00146D87"/>
    <w:rsid w:val="00721EBD"/>
    <w:rsid w:val="00F135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F135F3"/>
    <w:pPr>
      <w:keepNext/>
      <w:spacing w:before="240" w:after="60" w:line="240" w:lineRule="auto"/>
      <w:outlineLvl w:val="1"/>
    </w:pPr>
    <w:rPr>
      <w:rFonts w:ascii="Arial" w:eastAsia="Times New Roman" w:hAnsi="Arial" w:cs="Arial"/>
      <w:b/>
      <w:bCs/>
      <w:i/>
      <w:iCs/>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F135F3"/>
    <w:rPr>
      <w:b/>
      <w:bCs/>
    </w:rPr>
  </w:style>
  <w:style w:type="paragraph" w:styleId="NormalWeb">
    <w:name w:val="Normal (Web)"/>
    <w:basedOn w:val="Normal"/>
    <w:rsid w:val="00F135F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F135F3"/>
    <w:pPr>
      <w:ind w:left="720"/>
      <w:contextualSpacing/>
    </w:pPr>
    <w:rPr>
      <w:lang w:val="es-SV"/>
    </w:rPr>
  </w:style>
  <w:style w:type="character" w:customStyle="1" w:styleId="Ttulo2Car">
    <w:name w:val="Título 2 Car"/>
    <w:basedOn w:val="Fuentedeprrafopredeter"/>
    <w:link w:val="Ttulo2"/>
    <w:rsid w:val="00F135F3"/>
    <w:rPr>
      <w:rFonts w:ascii="Arial" w:eastAsia="Times New Roman" w:hAnsi="Arial" w:cs="Arial"/>
      <w:b/>
      <w:bCs/>
      <w:i/>
      <w:iCs/>
      <w:sz w:val="28"/>
      <w:szCs w:val="2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qFormat/>
    <w:rsid w:val="00F135F3"/>
    <w:pPr>
      <w:keepNext/>
      <w:spacing w:before="240" w:after="60" w:line="240" w:lineRule="auto"/>
      <w:outlineLvl w:val="1"/>
    </w:pPr>
    <w:rPr>
      <w:rFonts w:ascii="Arial" w:eastAsia="Times New Roman" w:hAnsi="Arial" w:cs="Arial"/>
      <w:b/>
      <w:bCs/>
      <w:i/>
      <w:iCs/>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qFormat/>
    <w:rsid w:val="00F135F3"/>
    <w:rPr>
      <w:b/>
      <w:bCs/>
    </w:rPr>
  </w:style>
  <w:style w:type="paragraph" w:styleId="NormalWeb">
    <w:name w:val="Normal (Web)"/>
    <w:basedOn w:val="Normal"/>
    <w:rsid w:val="00F135F3"/>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F135F3"/>
    <w:pPr>
      <w:ind w:left="720"/>
      <w:contextualSpacing/>
    </w:pPr>
    <w:rPr>
      <w:lang w:val="es-SV"/>
    </w:rPr>
  </w:style>
  <w:style w:type="character" w:customStyle="1" w:styleId="Ttulo2Car">
    <w:name w:val="Título 2 Car"/>
    <w:basedOn w:val="Fuentedeprrafopredeter"/>
    <w:link w:val="Ttulo2"/>
    <w:rsid w:val="00F135F3"/>
    <w:rPr>
      <w:rFonts w:ascii="Arial" w:eastAsia="Times New Roman" w:hAnsi="Arial" w:cs="Arial"/>
      <w:b/>
      <w:bCs/>
      <w:i/>
      <w:iCs/>
      <w:sz w:val="28"/>
      <w:szCs w:val="2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966</Words>
  <Characters>5314</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2013-10-28T04:27:00Z</dcterms:created>
  <dcterms:modified xsi:type="dcterms:W3CDTF">2013-10-28T05:10:00Z</dcterms:modified>
</cp:coreProperties>
</file>