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D5F" w:rsidRPr="002E20A8" w:rsidRDefault="002E20A8" w:rsidP="00196133">
      <w:pPr>
        <w:spacing w:line="360" w:lineRule="auto"/>
        <w:jc w:val="center"/>
        <w:rPr>
          <w:rFonts w:ascii="Andalus" w:hAnsi="Andalus" w:cs="Andalus"/>
          <w:b/>
          <w:szCs w:val="24"/>
        </w:rPr>
      </w:pPr>
      <w:r>
        <w:rPr>
          <w:rFonts w:ascii="Andalus" w:hAnsi="Andalus" w:cs="Andalus"/>
          <w:b/>
          <w:szCs w:val="24"/>
        </w:rPr>
        <w:t>RESUMEN CÓ</w:t>
      </w:r>
      <w:r w:rsidR="001A0F82" w:rsidRPr="002E20A8">
        <w:rPr>
          <w:rFonts w:ascii="Andalus" w:hAnsi="Andalus" w:cs="Andalus"/>
          <w:b/>
          <w:szCs w:val="24"/>
        </w:rPr>
        <w:t>DIGO TRIBUTARIO</w:t>
      </w:r>
    </w:p>
    <w:p w:rsidR="000A2705" w:rsidRPr="000A2705" w:rsidRDefault="000A2705" w:rsidP="00196133">
      <w:pPr>
        <w:spacing w:line="360" w:lineRule="auto"/>
        <w:jc w:val="both"/>
        <w:rPr>
          <w:szCs w:val="24"/>
        </w:rPr>
      </w:pPr>
      <w:r w:rsidRPr="000A2705">
        <w:rPr>
          <w:szCs w:val="24"/>
        </w:rPr>
        <w:t>Este código establece cada una de las obligaciones tributarias que tiene el contribuyente o el responsable ante la Administración Tributaria las cuales son:</w:t>
      </w:r>
    </w:p>
    <w:p w:rsidR="000A2705" w:rsidRPr="000A2705" w:rsidRDefault="000A2705" w:rsidP="00196133">
      <w:pPr>
        <w:spacing w:after="0" w:line="360" w:lineRule="auto"/>
        <w:jc w:val="both"/>
        <w:rPr>
          <w:rFonts w:eastAsia="Times New Roman" w:cs="Arial"/>
          <w:b/>
          <w:szCs w:val="24"/>
          <w:lang w:eastAsia="es-MX"/>
        </w:rPr>
      </w:pPr>
    </w:p>
    <w:p w:rsidR="000A2705" w:rsidRPr="000A2705" w:rsidRDefault="000A2705" w:rsidP="00196133">
      <w:pPr>
        <w:spacing w:after="0" w:line="360" w:lineRule="auto"/>
        <w:jc w:val="both"/>
        <w:rPr>
          <w:rFonts w:eastAsia="Times New Roman" w:cs="Arial"/>
          <w:szCs w:val="24"/>
          <w:lang w:eastAsia="es-MX"/>
        </w:rPr>
      </w:pPr>
      <w:r w:rsidRPr="000A2705">
        <w:rPr>
          <w:rFonts w:eastAsia="Times New Roman" w:cs="Arial"/>
          <w:b/>
          <w:szCs w:val="24"/>
          <w:lang w:eastAsia="es-MX"/>
        </w:rPr>
        <w:t>Obligaciones Sustantiva</w:t>
      </w:r>
      <w:r>
        <w:rPr>
          <w:rFonts w:eastAsia="Times New Roman" w:cs="Arial"/>
          <w:b/>
          <w:szCs w:val="24"/>
          <w:lang w:eastAsia="es-MX"/>
        </w:rPr>
        <w:t>s</w:t>
      </w:r>
      <w:r w:rsidRPr="000A2705">
        <w:rPr>
          <w:rFonts w:eastAsia="Times New Roman" w:cs="Arial"/>
          <w:b/>
          <w:szCs w:val="24"/>
          <w:lang w:eastAsia="es-MX"/>
        </w:rPr>
        <w:t>:</w:t>
      </w:r>
      <w:r w:rsidRPr="000A2705">
        <w:rPr>
          <w:rFonts w:eastAsia="Times New Roman" w:cs="Arial"/>
          <w:szCs w:val="24"/>
          <w:lang w:eastAsia="es-MX"/>
        </w:rPr>
        <w:t xml:space="preserve"> Es el deber a cargo de un contribuyente o responsable de pagar un tributo. </w:t>
      </w:r>
    </w:p>
    <w:p w:rsidR="000A2705" w:rsidRPr="000A2705" w:rsidRDefault="000A2705" w:rsidP="00196133">
      <w:pPr>
        <w:spacing w:after="0" w:line="360" w:lineRule="auto"/>
        <w:jc w:val="both"/>
        <w:rPr>
          <w:rFonts w:eastAsia="Times New Roman" w:cs="Arial"/>
          <w:szCs w:val="24"/>
          <w:lang w:eastAsia="es-MX"/>
        </w:rPr>
      </w:pPr>
      <w:r w:rsidRPr="000A2705">
        <w:rPr>
          <w:rFonts w:eastAsia="Times New Roman" w:cs="Arial"/>
          <w:b/>
          <w:szCs w:val="24"/>
          <w:lang w:eastAsia="es-MX"/>
        </w:rPr>
        <w:t>Obligaciones Formales:</w:t>
      </w:r>
      <w:r w:rsidRPr="000A2705">
        <w:rPr>
          <w:rFonts w:eastAsia="Times New Roman" w:cs="Arial"/>
          <w:szCs w:val="24"/>
          <w:lang w:eastAsia="es-MX"/>
        </w:rPr>
        <w:t xml:space="preserve"> </w:t>
      </w:r>
      <w:r w:rsidRPr="00B53A35">
        <w:rPr>
          <w:rFonts w:eastAsia="Times New Roman" w:cs="Arial"/>
          <w:szCs w:val="24"/>
          <w:lang w:eastAsia="es-MX"/>
        </w:rPr>
        <w:t>Es el deber de los contribuyentes de cumplir con la</w:t>
      </w:r>
      <w:r w:rsidRPr="000A2705">
        <w:rPr>
          <w:rFonts w:eastAsia="Times New Roman" w:cs="Arial"/>
          <w:szCs w:val="24"/>
          <w:lang w:eastAsia="es-MX"/>
        </w:rPr>
        <w:t xml:space="preserve"> </w:t>
      </w:r>
      <w:r w:rsidRPr="00B53A35">
        <w:rPr>
          <w:rFonts w:eastAsia="Times New Roman" w:cs="Arial"/>
          <w:szCs w:val="24"/>
          <w:lang w:eastAsia="es-MX"/>
        </w:rPr>
        <w:t xml:space="preserve">presentación de las </w:t>
      </w:r>
      <w:r w:rsidRPr="000A2705">
        <w:rPr>
          <w:rFonts w:eastAsia="Times New Roman" w:cs="Arial"/>
          <w:szCs w:val="24"/>
          <w:lang w:eastAsia="es-MX"/>
        </w:rPr>
        <w:t xml:space="preserve"> </w:t>
      </w:r>
      <w:r w:rsidRPr="00B53A35">
        <w:rPr>
          <w:rFonts w:eastAsia="Times New Roman" w:cs="Arial"/>
          <w:szCs w:val="24"/>
          <w:lang w:eastAsia="es-MX"/>
        </w:rPr>
        <w:t xml:space="preserve">comunicaciones, declaraciones juradas, llevar libros de contabilidad y otras complementarias. </w:t>
      </w:r>
    </w:p>
    <w:p w:rsidR="000A2705" w:rsidRPr="00B53A35" w:rsidRDefault="000A2705" w:rsidP="00196133">
      <w:pPr>
        <w:spacing w:after="0" w:line="360" w:lineRule="auto"/>
        <w:jc w:val="both"/>
        <w:rPr>
          <w:rFonts w:eastAsia="Times New Roman" w:cs="Arial"/>
          <w:szCs w:val="24"/>
          <w:lang w:eastAsia="es-MX"/>
        </w:rPr>
      </w:pPr>
    </w:p>
    <w:p w:rsidR="001A0F82" w:rsidRPr="000A2705" w:rsidRDefault="000A2705" w:rsidP="00196133">
      <w:pPr>
        <w:spacing w:line="360" w:lineRule="auto"/>
        <w:jc w:val="both"/>
        <w:rPr>
          <w:b/>
          <w:szCs w:val="24"/>
        </w:rPr>
      </w:pPr>
      <w:r w:rsidRPr="000A2705">
        <w:rPr>
          <w:b/>
          <w:szCs w:val="24"/>
        </w:rPr>
        <w:t xml:space="preserve"> </w:t>
      </w:r>
    </w:p>
    <w:p w:rsidR="000A2705" w:rsidRPr="000A2705" w:rsidRDefault="002E20A8" w:rsidP="00196133">
      <w:pPr>
        <w:spacing w:line="360" w:lineRule="auto"/>
        <w:jc w:val="both"/>
        <w:rPr>
          <w:b/>
          <w:szCs w:val="24"/>
          <w:u w:val="single"/>
        </w:rPr>
      </w:pPr>
      <w:r w:rsidRPr="000A2705">
        <w:rPr>
          <w:b/>
          <w:szCs w:val="24"/>
          <w:u w:val="single"/>
        </w:rPr>
        <w:t>OBLIGACIONES SUSTANTIVAS:</w:t>
      </w:r>
    </w:p>
    <w:p w:rsidR="002E20A8" w:rsidRDefault="002E20A8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>Declaración</w:t>
      </w:r>
      <w:r w:rsidR="001A0F82" w:rsidRPr="002E20A8">
        <w:rPr>
          <w:b/>
          <w:szCs w:val="24"/>
        </w:rPr>
        <w:t xml:space="preserve"> Anual del Impuesto sobre la renta: </w:t>
      </w:r>
      <w:r w:rsidR="001A0F82" w:rsidRPr="002E20A8">
        <w:rPr>
          <w:szCs w:val="24"/>
        </w:rPr>
        <w:t>A más tardar el 30 de abril del año siguiente, Resultados en un periodo anual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>Retención por servicios de carácter permanente:</w:t>
      </w:r>
      <w:r w:rsidRPr="002E20A8">
        <w:rPr>
          <w:szCs w:val="24"/>
        </w:rPr>
        <w:t xml:space="preserve"> Retención que le se les efectúan a las personas naturales del monto que reciben en el concepto de servicios permanentes y se les es retenido de acuerdo a las tablas de retención. Durante los primeros 10 </w:t>
      </w:r>
      <w:proofErr w:type="spellStart"/>
      <w:r w:rsidRPr="002E20A8">
        <w:rPr>
          <w:szCs w:val="24"/>
        </w:rPr>
        <w:t>dias</w:t>
      </w:r>
      <w:proofErr w:type="spellEnd"/>
      <w:r w:rsidRPr="002E20A8">
        <w:rPr>
          <w:szCs w:val="24"/>
        </w:rPr>
        <w:t xml:space="preserve"> </w:t>
      </w:r>
      <w:proofErr w:type="spellStart"/>
      <w:r w:rsidRPr="002E20A8">
        <w:rPr>
          <w:szCs w:val="24"/>
        </w:rPr>
        <w:t>habiles</w:t>
      </w:r>
      <w:proofErr w:type="spellEnd"/>
      <w:r w:rsidRPr="002E20A8">
        <w:rPr>
          <w:szCs w:val="24"/>
        </w:rPr>
        <w:t xml:space="preserve"> siguientes de haber retenido.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 xml:space="preserve">Retención por Prestación de Servicios: </w:t>
      </w:r>
      <w:r w:rsidRPr="002E20A8">
        <w:rPr>
          <w:szCs w:val="24"/>
        </w:rPr>
        <w:t xml:space="preserve">Es la retención que se les hace a las personas que no tienen relación directa laboral con la empresa a que están presentado sus servicios profesionales. Durante los primeros 10 </w:t>
      </w:r>
      <w:proofErr w:type="spellStart"/>
      <w:r w:rsidRPr="002E20A8">
        <w:rPr>
          <w:szCs w:val="24"/>
        </w:rPr>
        <w:t>dias</w:t>
      </w:r>
      <w:proofErr w:type="spellEnd"/>
      <w:r w:rsidRPr="002E20A8">
        <w:rPr>
          <w:szCs w:val="24"/>
        </w:rPr>
        <w:t xml:space="preserve"> </w:t>
      </w:r>
      <w:proofErr w:type="spellStart"/>
      <w:r w:rsidRPr="002E20A8">
        <w:rPr>
          <w:szCs w:val="24"/>
        </w:rPr>
        <w:t>habiles</w:t>
      </w:r>
      <w:proofErr w:type="spellEnd"/>
      <w:r w:rsidRPr="002E20A8">
        <w:rPr>
          <w:szCs w:val="24"/>
        </w:rPr>
        <w:t xml:space="preserve"> siguientes de haber retenido.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 xml:space="preserve">Retención a sujetos no domiciliados: </w:t>
      </w:r>
      <w:r w:rsidRPr="002E20A8">
        <w:rPr>
          <w:szCs w:val="24"/>
        </w:rPr>
        <w:t>Retención efectuada a personas naturales jurídicas, sucesiones o fideicomisos extranjeros que obtengan ingresos en el país. Están obligados a retenerles 20% en concepto de ISR, En los primeros 10 días hábiles siguientes de haber efectuado la retención.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 xml:space="preserve">Anticipo a cuenta del Impuesto sobre la Renta: </w:t>
      </w:r>
      <w:r w:rsidRPr="002E20A8">
        <w:rPr>
          <w:szCs w:val="24"/>
        </w:rPr>
        <w:t xml:space="preserve">Se determina el pago en base a los ingresos brutos obtenidos en un periodo mensual aplicando el 1.75% sobre ingresos. Los distribuidores de bebidas, productos comestibles o artículos para la higiene personal, a quienes su proveedor les asigne precios sugeridos de venta al público o el margen de utilidad, estarán obligadas a enterar mensualmente en concepto de pago o anticipo a cuenta el 0.3% sobre sus ingresos brutos mensuales. Las personas autorizadas para prestar </w:t>
      </w:r>
      <w:r w:rsidRPr="002E20A8">
        <w:rPr>
          <w:szCs w:val="24"/>
        </w:rPr>
        <w:lastRenderedPageBreak/>
        <w:t>servicio de transporte al público de pasajeros, también estarán supeditados al pago del referido 0.3%. En los primeros diez días del mes siguiente deben reportarse la totalidad de ingresos.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>Retenciones sobre premios:</w:t>
      </w:r>
      <w:r w:rsidRPr="002E20A8">
        <w:rPr>
          <w:szCs w:val="24"/>
        </w:rPr>
        <w:t xml:space="preserve"> Toda persona natural o jurídicas domiciliadas las cuales paguen o acrediten a cualquier sujeto domiciliado y no domiciliado en concepto de premios, ganancias procedentes de rifas, loterías sorteos, juegos al azar entre otras deberán retener el referido impuesto En los primeros diez días del mes</w:t>
      </w:r>
    </w:p>
    <w:p w:rsidR="002E20A8" w:rsidRDefault="001A0F82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>Impuesto a la Transferencia de Bienes Muebles y Prestación de Servicios:</w:t>
      </w:r>
      <w:r w:rsidRPr="002E20A8">
        <w:rPr>
          <w:szCs w:val="24"/>
        </w:rPr>
        <w:t xml:space="preserve"> Impuesto sobre las operaciones gravadas, exentas y no sujetas realizadas en el periodo. En los primeros diez días del mes</w:t>
      </w:r>
    </w:p>
    <w:p w:rsidR="002E20A8" w:rsidRDefault="00953D5F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</w:rPr>
        <w:t xml:space="preserve">Percepción de IVA: </w:t>
      </w:r>
      <w:r w:rsidRPr="002E20A8">
        <w:rPr>
          <w:szCs w:val="24"/>
        </w:rPr>
        <w:t>Se percibe en concepto de IVA a las pequeñas empresas que adquieren bienes distribuidos por grandes contribuyentes, En los primeros diez días del mes siguiente que se realice la percepción</w:t>
      </w:r>
    </w:p>
    <w:p w:rsidR="00953D5F" w:rsidRDefault="00953D5F" w:rsidP="00196133">
      <w:pPr>
        <w:pStyle w:val="Prrafodelista"/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2E20A8">
        <w:rPr>
          <w:b/>
          <w:szCs w:val="24"/>
        </w:rPr>
        <w:t>Retención de IVA:</w:t>
      </w:r>
      <w:r w:rsidRPr="002E20A8">
        <w:rPr>
          <w:szCs w:val="24"/>
        </w:rPr>
        <w:t xml:space="preserve"> Se retiene en concepto de IVA a las pequeñas empresas, </w:t>
      </w:r>
      <w:r w:rsidR="00B53A35" w:rsidRPr="002E20A8">
        <w:rPr>
          <w:szCs w:val="24"/>
        </w:rPr>
        <w:t>En los primeros diez días del mes siguiente que se realice la percepción</w:t>
      </w:r>
    </w:p>
    <w:p w:rsidR="002E20A8" w:rsidRDefault="002E20A8" w:rsidP="00196133">
      <w:pPr>
        <w:spacing w:line="360" w:lineRule="auto"/>
        <w:ind w:left="360"/>
        <w:jc w:val="both"/>
        <w:rPr>
          <w:szCs w:val="24"/>
        </w:rPr>
      </w:pPr>
    </w:p>
    <w:p w:rsidR="002E20A8" w:rsidRDefault="002E20A8" w:rsidP="00196133">
      <w:pPr>
        <w:spacing w:line="360" w:lineRule="auto"/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OBLIGACIONES FORMALES</w:t>
      </w:r>
      <w:r w:rsidRPr="000A2705">
        <w:rPr>
          <w:b/>
          <w:szCs w:val="24"/>
          <w:u w:val="single"/>
        </w:rPr>
        <w:t>:</w:t>
      </w:r>
    </w:p>
    <w:p w:rsidR="002E20A8" w:rsidRPr="002E20A8" w:rsidRDefault="002E20A8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MX"/>
        </w:rPr>
      </w:pPr>
      <w:r w:rsidRPr="0094053A">
        <w:rPr>
          <w:b/>
          <w:szCs w:val="24"/>
        </w:rPr>
        <w:t xml:space="preserve">Presentar declaraciones: </w:t>
      </w:r>
      <w:r w:rsidRPr="002E20A8">
        <w:rPr>
          <w:szCs w:val="24"/>
        </w:rPr>
        <w:t>Los sujetos pasivos de los impuestos, sea en calidad de contribuyentes o de responsables aun cuando no de lugar al pago de impuestos, por medio de formularios.</w:t>
      </w:r>
    </w:p>
    <w:p w:rsidR="002E20A8" w:rsidRPr="002E20A8" w:rsidRDefault="002E20A8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MX"/>
        </w:rPr>
      </w:pPr>
      <w:r w:rsidRPr="0094053A">
        <w:rPr>
          <w:b/>
          <w:szCs w:val="24"/>
        </w:rPr>
        <w:t>Llevar contabilidad formal:</w:t>
      </w:r>
      <w:r w:rsidRPr="0094053A">
        <w:rPr>
          <w:rFonts w:ascii="Arial Narrow" w:hAnsi="Arial Narrow"/>
          <w:b/>
          <w:color w:val="000000"/>
        </w:rPr>
        <w:t xml:space="preserve"> </w:t>
      </w:r>
      <w:r w:rsidRPr="002E20A8">
        <w:rPr>
          <w:rFonts w:ascii="Arial Narrow" w:hAnsi="Arial Narrow"/>
          <w:color w:val="000000"/>
        </w:rPr>
        <w:t>Los sujetos cuyos activos sean iguales o superiores a $12,000</w:t>
      </w:r>
    </w:p>
    <w:p w:rsidR="002E20A8" w:rsidRDefault="002E20A8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2E20A8">
        <w:rPr>
          <w:szCs w:val="24"/>
        </w:rPr>
        <w:t>Inscribirse en el Registro de Contribuyentes</w:t>
      </w:r>
      <w:r>
        <w:rPr>
          <w:szCs w:val="24"/>
        </w:rPr>
        <w:t>:</w:t>
      </w:r>
      <w:r w:rsidRPr="002E20A8">
        <w:t xml:space="preserve"> </w:t>
      </w:r>
      <w:r w:rsidRPr="002E20A8">
        <w:rPr>
          <w:szCs w:val="24"/>
        </w:rPr>
        <w:t xml:space="preserve">Todo sujeto pasivo que resulte obligado al pago de los diferentes impuestos según lo indique la administración tributaria.  </w:t>
      </w:r>
      <w:r>
        <w:rPr>
          <w:szCs w:val="24"/>
        </w:rPr>
        <w:t xml:space="preserve"> </w:t>
      </w:r>
      <w:r>
        <w:rPr>
          <w:szCs w:val="24"/>
        </w:rPr>
        <w:tab/>
      </w:r>
    </w:p>
    <w:p w:rsidR="00196133" w:rsidRDefault="002E20A8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>Informar cambios que ocurran en los datos básicos proporcionados en el registro</w:t>
      </w:r>
      <w:r w:rsidR="00196133" w:rsidRPr="0094053A">
        <w:rPr>
          <w:b/>
          <w:szCs w:val="24"/>
        </w:rPr>
        <w:t xml:space="preserve">: </w:t>
      </w:r>
      <w:r w:rsidR="00196133" w:rsidRPr="00196133">
        <w:rPr>
          <w:szCs w:val="24"/>
        </w:rPr>
        <w:t xml:space="preserve">Informar cambios sobre nombre denominación o razón social, nombre comercial,  NIT, NRC, Actividad económica, dirección para recibir notificaciones, nombre del representante legal o apoderados, dirección de casa matriz, establecimientos y bodegas </w:t>
      </w:r>
    </w:p>
    <w:p w:rsidR="00196133" w:rsidRP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MX"/>
        </w:rPr>
      </w:pPr>
      <w:r w:rsidRPr="0094053A">
        <w:rPr>
          <w:b/>
          <w:szCs w:val="24"/>
        </w:rPr>
        <w:t>Actualización de Dirección para recibir notificaciones:</w:t>
      </w:r>
      <w:r w:rsidRPr="00196133">
        <w:rPr>
          <w:szCs w:val="24"/>
        </w:rPr>
        <w:t xml:space="preserve"> Los sujetos pasivos están obligados a actualizar la información correspondiente a la dirección </w:t>
      </w:r>
    </w:p>
    <w:p w:rsidR="00196133" w:rsidRP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rFonts w:ascii="Arial Narrow" w:eastAsia="Times New Roman" w:hAnsi="Arial Narrow" w:cs="Times New Roman"/>
          <w:color w:val="000000"/>
          <w:sz w:val="24"/>
          <w:szCs w:val="24"/>
          <w:lang w:eastAsia="es-MX"/>
        </w:rPr>
      </w:pPr>
      <w:r w:rsidRPr="0094053A">
        <w:rPr>
          <w:b/>
          <w:szCs w:val="24"/>
        </w:rPr>
        <w:lastRenderedPageBreak/>
        <w:t xml:space="preserve">Obligación de Informar extravío de documentos y registros: </w:t>
      </w:r>
      <w:r w:rsidRPr="00196133">
        <w:rPr>
          <w:rFonts w:ascii="Arial Narrow" w:eastAsia="Times New Roman" w:hAnsi="Arial Narrow" w:cs="Times New Roman"/>
          <w:color w:val="000000"/>
          <w:sz w:val="24"/>
          <w:szCs w:val="24"/>
          <w:lang w:eastAsia="es-MX"/>
        </w:rPr>
        <w:t xml:space="preserve">Los sujetos pasivos están obligados a actualizar la información correspondiente a la dirección </w:t>
      </w:r>
    </w:p>
    <w:p w:rsidR="00196133" w:rsidRPr="0094053A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 xml:space="preserve">Obligación de Informar extravío de documentos y registros: </w:t>
      </w:r>
      <w:r w:rsidRPr="0094053A">
        <w:rPr>
          <w:szCs w:val="24"/>
        </w:rPr>
        <w:t>En el caso de documentos comprendidos en los Art. 107 y 110 C.T.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>Obligación de Informar y permitir el control:</w:t>
      </w:r>
      <w:r>
        <w:rPr>
          <w:szCs w:val="24"/>
        </w:rPr>
        <w:t xml:space="preserve"> </w:t>
      </w:r>
      <w:r w:rsidRPr="00196133">
        <w:rPr>
          <w:szCs w:val="24"/>
        </w:rPr>
        <w:t>La Administración Tributaria se encuentra facultada para solicitar o para requerir todo tipo de información, documentación, datos, explicaciones, antecedentes o justificantes, ya sea para ser incorporados a sus bases de datos o registros informáticos o para ser utilizada en el ejercicio legal de sus facultades de fiscalización, verificación, investigación, inspección, control, cobro, recaudación y demás materias relacionadas con los tributos que administra.</w:t>
      </w:r>
    </w:p>
    <w:p w:rsidR="002E20A8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</w:rPr>
        <w:t>Obligación de Exigir Estados Financieros:</w:t>
      </w:r>
      <w:r w:rsidRPr="00196133">
        <w:rPr>
          <w:szCs w:val="24"/>
        </w:rPr>
        <w:t xml:space="preserve"> Los Bancos, las Asociaciones Cooperativas de Ahorro y Crédito, los Intermediarios Financieros no Bancarios, y cualquier otra entidad financiera, pública o privada, deberá exigir a sus clientes o usuarios obligados a llevar contabilidad o no , para sustentar la concesión u otorgamiento de préstamos, créditos o financiamientos, por montos solicitados iguales o superiores a $40,000.00, el Balance General y Estado de resultados, los cuales deberán ser auditados cuando lo requiera la ley, y el estado de ingresos y gastos para los que no se encuentren obligados de llevar contabilidad.</w:t>
      </w:r>
      <w:r w:rsidR="002E20A8" w:rsidRPr="002E20A8">
        <w:rPr>
          <w:szCs w:val="24"/>
        </w:rPr>
        <w:t xml:space="preserve">  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>Formulario para notificar el nombramiento del Auditor Fiscal:</w:t>
      </w:r>
      <w:r>
        <w:rPr>
          <w:szCs w:val="24"/>
        </w:rPr>
        <w:t xml:space="preserve"> </w:t>
      </w:r>
      <w:r w:rsidRPr="00196133">
        <w:rPr>
          <w:szCs w:val="24"/>
        </w:rPr>
        <w:t>Están obligados a nombrar auditor fiscal todos los contribuyentes que hayan poseído al 31 de diciembre del año inmediato anterior un total de activos superiores a $1,142,857,14 o ingresos superiores a $571,428,57 o personas jurídicas resultantes de fusión o transformación de sociedades o sociedades en liquidación.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>Informe de distribución de dividendos, utilidades y socios de entidades jurídicas</w:t>
      </w:r>
      <w:r>
        <w:rPr>
          <w:szCs w:val="24"/>
        </w:rPr>
        <w:t xml:space="preserve">: </w:t>
      </w:r>
      <w:r w:rsidRPr="00196133">
        <w:rPr>
          <w:szCs w:val="24"/>
        </w:rPr>
        <w:t>Las personas jurídicas que distribuyan dividendos, excedentes o utilidades, además de el listado de socios accionistas o apoderados se les haya o no efectuado distribución de dividendos así como también el listado de los que hayan período la calidad antes mencionada o lo que hayan adquirido, indicando el VC de las acciones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t>Autorización de documentos correlativos:</w:t>
      </w:r>
      <w:r w:rsidRPr="00196133">
        <w:rPr>
          <w:szCs w:val="24"/>
        </w:rPr>
        <w:t xml:space="preserve"> Facturas, CCF, </w:t>
      </w:r>
      <w:r>
        <w:rPr>
          <w:szCs w:val="24"/>
        </w:rPr>
        <w:t xml:space="preserve">Comprobantes de Donaciones, </w:t>
      </w:r>
      <w:proofErr w:type="spellStart"/>
      <w:r>
        <w:rPr>
          <w:szCs w:val="24"/>
        </w:rPr>
        <w:t>etc</w:t>
      </w:r>
      <w:proofErr w:type="spellEnd"/>
      <w:r>
        <w:rPr>
          <w:szCs w:val="24"/>
        </w:rPr>
        <w:t xml:space="preserve">: </w:t>
      </w:r>
      <w:r w:rsidRPr="00196133">
        <w:rPr>
          <w:szCs w:val="24"/>
        </w:rPr>
        <w:t>Cuando la emisión de facturas resultare impráctica o de difícil aplicación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94053A">
        <w:rPr>
          <w:b/>
          <w:szCs w:val="24"/>
        </w:rPr>
        <w:lastRenderedPageBreak/>
        <w:t>Constancia de solvencia de la DGII</w:t>
      </w:r>
      <w:proofErr w:type="gramStart"/>
      <w:r w:rsidRPr="0094053A">
        <w:rPr>
          <w:b/>
          <w:szCs w:val="24"/>
        </w:rPr>
        <w:t>:</w:t>
      </w:r>
      <w:r>
        <w:rPr>
          <w:szCs w:val="24"/>
        </w:rPr>
        <w:t xml:space="preserve">  </w:t>
      </w:r>
      <w:r w:rsidRPr="00196133">
        <w:rPr>
          <w:szCs w:val="24"/>
        </w:rPr>
        <w:t>Se</w:t>
      </w:r>
      <w:proofErr w:type="gramEnd"/>
      <w:r w:rsidRPr="00196133">
        <w:rPr>
          <w:szCs w:val="24"/>
        </w:rPr>
        <w:t xml:space="preserve"> requiere estar solvente o autorizado previamente para la realización de actividades: tales como escrituras </w:t>
      </w:r>
      <w:proofErr w:type="spellStart"/>
      <w:r w:rsidRPr="00196133">
        <w:rPr>
          <w:szCs w:val="24"/>
        </w:rPr>
        <w:t>publicas</w:t>
      </w:r>
      <w:proofErr w:type="spellEnd"/>
      <w:r w:rsidRPr="00196133">
        <w:rPr>
          <w:szCs w:val="24"/>
        </w:rPr>
        <w:t xml:space="preserve"> de </w:t>
      </w:r>
      <w:proofErr w:type="spellStart"/>
      <w:r w:rsidRPr="00196133">
        <w:rPr>
          <w:szCs w:val="24"/>
        </w:rPr>
        <w:t>fusion</w:t>
      </w:r>
      <w:proofErr w:type="spellEnd"/>
      <w:r w:rsidRPr="00196133">
        <w:rPr>
          <w:szCs w:val="24"/>
        </w:rPr>
        <w:t xml:space="preserve">, licitaciones, solicitar </w:t>
      </w:r>
      <w:proofErr w:type="spellStart"/>
      <w:r w:rsidRPr="00196133">
        <w:rPr>
          <w:szCs w:val="24"/>
        </w:rPr>
        <w:t>creditos</w:t>
      </w:r>
      <w:proofErr w:type="spellEnd"/>
      <w:r w:rsidRPr="00196133">
        <w:rPr>
          <w:szCs w:val="24"/>
        </w:rPr>
        <w:t xml:space="preserve"> bancarios, tarjetas de </w:t>
      </w:r>
      <w:proofErr w:type="spellStart"/>
      <w:r w:rsidRPr="00196133">
        <w:rPr>
          <w:szCs w:val="24"/>
        </w:rPr>
        <w:t>credito</w:t>
      </w:r>
      <w:proofErr w:type="spellEnd"/>
      <w:r w:rsidRPr="00196133">
        <w:rPr>
          <w:szCs w:val="24"/>
        </w:rPr>
        <w:t>, entre otras.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90D94">
        <w:rPr>
          <w:b/>
          <w:szCs w:val="24"/>
        </w:rPr>
        <w:t>Estado de origen y aplicación de fondos:</w:t>
      </w:r>
      <w:r>
        <w:rPr>
          <w:szCs w:val="24"/>
        </w:rPr>
        <w:t xml:space="preserve"> </w:t>
      </w:r>
      <w:r w:rsidRPr="00196133">
        <w:rPr>
          <w:szCs w:val="24"/>
        </w:rPr>
        <w:t xml:space="preserve">Las corporaciones y fundaciones de derecho público y de utilidad </w:t>
      </w:r>
      <w:proofErr w:type="spellStart"/>
      <w:r w:rsidRPr="00196133">
        <w:rPr>
          <w:szCs w:val="24"/>
        </w:rPr>
        <w:t>publica</w:t>
      </w:r>
      <w:proofErr w:type="spellEnd"/>
      <w:r w:rsidRPr="00196133">
        <w:rPr>
          <w:szCs w:val="24"/>
        </w:rPr>
        <w:t xml:space="preserve"> están en la obligación de informar  un estado de origen y aplicación de fondos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90D94">
        <w:rPr>
          <w:b/>
          <w:szCs w:val="24"/>
        </w:rPr>
        <w:t xml:space="preserve">Informe de donaciones recibidas en el mes: </w:t>
      </w:r>
      <w:r w:rsidRPr="00196133">
        <w:rPr>
          <w:szCs w:val="24"/>
        </w:rPr>
        <w:t xml:space="preserve">Las corporaciones y fundaciones de derecho público y de utilidad </w:t>
      </w:r>
      <w:proofErr w:type="spellStart"/>
      <w:proofErr w:type="gramStart"/>
      <w:r w:rsidRPr="00196133">
        <w:rPr>
          <w:szCs w:val="24"/>
        </w:rPr>
        <w:t>publica</w:t>
      </w:r>
      <w:proofErr w:type="spellEnd"/>
      <w:proofErr w:type="gramEnd"/>
      <w:r w:rsidRPr="00196133">
        <w:rPr>
          <w:szCs w:val="24"/>
        </w:rPr>
        <w:t xml:space="preserve"> están en la obligación de informar  toda donación que se les efectué.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90D94">
        <w:rPr>
          <w:b/>
          <w:szCs w:val="24"/>
        </w:rPr>
        <w:t xml:space="preserve">Inventario Físico de Bienes del Activo Realizable o Corriente: </w:t>
      </w:r>
      <w:r w:rsidRPr="00196133">
        <w:rPr>
          <w:szCs w:val="24"/>
        </w:rPr>
        <w:t>Los sujetos pasivos con ingresos iguales o superiores a dos mil setecientos cincuenta y tres salarios mínimos mensuales ($ 616,947.30) deberán presentar el correspondiente formulario adjuntando el detalle del inventario físico practicado de cada uno de los bienes inventariados y la valuación de los mismos002E</w:t>
      </w:r>
    </w:p>
    <w:p w:rsidR="00196133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90D94">
        <w:rPr>
          <w:b/>
          <w:szCs w:val="24"/>
        </w:rPr>
        <w:t>Informe de Proveedores, Clientes, Acreedores y Deudores – ICV:</w:t>
      </w:r>
      <w:r>
        <w:rPr>
          <w:szCs w:val="24"/>
        </w:rPr>
        <w:t xml:space="preserve"> </w:t>
      </w:r>
      <w:r w:rsidRPr="00196133">
        <w:rPr>
          <w:szCs w:val="24"/>
        </w:rPr>
        <w:t>Sujetos iguales o superiores a dos mil setecientos cincuenta y tres salarios mínimos mensuales deberán presentar información relativa a las transferencias de bienes o prestaciones de servicios que hayan realizado</w:t>
      </w:r>
    </w:p>
    <w:p w:rsidR="00196133" w:rsidRPr="002E20A8" w:rsidRDefault="00196133" w:rsidP="00196133">
      <w:pPr>
        <w:pStyle w:val="Prrafodelista"/>
        <w:numPr>
          <w:ilvl w:val="0"/>
          <w:numId w:val="2"/>
        </w:numPr>
        <w:spacing w:line="360" w:lineRule="auto"/>
        <w:jc w:val="both"/>
        <w:rPr>
          <w:szCs w:val="24"/>
        </w:rPr>
      </w:pPr>
      <w:r w:rsidRPr="00E90D94">
        <w:rPr>
          <w:b/>
          <w:szCs w:val="24"/>
        </w:rPr>
        <w:t>Consignar datos en los documentos recibidos de sujetos excluidos de la calidad de contribuyentes:</w:t>
      </w:r>
      <w:r>
        <w:rPr>
          <w:szCs w:val="24"/>
        </w:rPr>
        <w:t xml:space="preserve"> </w:t>
      </w:r>
      <w:r w:rsidRPr="00196133">
        <w:rPr>
          <w:szCs w:val="24"/>
        </w:rPr>
        <w:t>Los contribuyentes del Impuesto a la Transferencia de Bienes Muebles y a la Prestación de Servicios deberán exigir que se consigne, tanto en el original como en la copia de los recibos, facturas u otro tipo de documentos que reciban de sujetos excluidos de la calidad de contribuyentes de dicho impuesto. Quedando registrado en el libro de compras</w:t>
      </w:r>
    </w:p>
    <w:sectPr w:rsidR="00196133" w:rsidRPr="002E20A8" w:rsidSect="00DC05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F7406"/>
    <w:multiLevelType w:val="hybridMultilevel"/>
    <w:tmpl w:val="7E6A30F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369A9"/>
    <w:multiLevelType w:val="hybridMultilevel"/>
    <w:tmpl w:val="7F1E402C"/>
    <w:lvl w:ilvl="0" w:tplc="08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A0F82"/>
    <w:rsid w:val="000A2705"/>
    <w:rsid w:val="00161C82"/>
    <w:rsid w:val="00166654"/>
    <w:rsid w:val="00196133"/>
    <w:rsid w:val="001A0F82"/>
    <w:rsid w:val="002E20A8"/>
    <w:rsid w:val="004C3B48"/>
    <w:rsid w:val="0094053A"/>
    <w:rsid w:val="00953D5F"/>
    <w:rsid w:val="00B53A35"/>
    <w:rsid w:val="00DC05A0"/>
    <w:rsid w:val="00E90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5A0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E20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20A8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2E20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4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3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4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1244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jantonio.rl@hotmail.com</dc:creator>
  <cp:lastModifiedBy>jantonio.rl@hotmail.com</cp:lastModifiedBy>
  <cp:revision>2</cp:revision>
  <dcterms:created xsi:type="dcterms:W3CDTF">2013-10-12T05:42:00Z</dcterms:created>
  <dcterms:modified xsi:type="dcterms:W3CDTF">2013-10-12T05:42:00Z</dcterms:modified>
</cp:coreProperties>
</file>