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095" w:rsidRPr="00BF4160" w:rsidRDefault="00A33095" w:rsidP="00435F3F">
      <w:pPr>
        <w:jc w:val="both"/>
        <w:rPr>
          <w:rFonts w:ascii="Arial Narrow" w:hAnsi="Arial Narrow"/>
          <w:sz w:val="24"/>
          <w:szCs w:val="24"/>
        </w:rPr>
        <w:sectPr w:rsidR="00A33095" w:rsidRPr="00BF4160" w:rsidSect="00A33095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  <w:r w:rsidRPr="00BF4160">
        <w:rPr>
          <w:rFonts w:ascii="Arial Narrow" w:hAnsi="Arial Narrow"/>
          <w:noProof/>
          <w:sz w:val="24"/>
          <w:szCs w:val="24"/>
          <w:lang w:eastAsia="es-SV"/>
        </w:rPr>
        <w:drawing>
          <wp:inline distT="0" distB="0" distL="0" distR="0">
            <wp:extent cx="8479423" cy="5835316"/>
            <wp:effectExtent l="76200" t="0" r="54977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33095" w:rsidRPr="00BF4160" w:rsidRDefault="00A33095" w:rsidP="00435F3F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BF4160">
        <w:rPr>
          <w:rFonts w:ascii="Arial Narrow" w:hAnsi="Arial Narrow"/>
          <w:b/>
          <w:sz w:val="24"/>
          <w:szCs w:val="24"/>
        </w:rPr>
        <w:lastRenderedPageBreak/>
        <w:t>CONSEJOS PARA LA PRÁCTICA</w:t>
      </w:r>
    </w:p>
    <w:p w:rsidR="00A33095" w:rsidRPr="00BF4160" w:rsidRDefault="00A33095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 xml:space="preserve">Los consejos para la </w:t>
      </w:r>
      <w:r w:rsidR="00247842" w:rsidRPr="00BF4160">
        <w:rPr>
          <w:rFonts w:ascii="Arial Narrow" w:hAnsi="Arial Narrow"/>
          <w:sz w:val="24"/>
          <w:szCs w:val="24"/>
        </w:rPr>
        <w:t>práctica</w:t>
      </w:r>
      <w:r w:rsidRPr="00BF4160">
        <w:rPr>
          <w:rFonts w:ascii="Arial Narrow" w:hAnsi="Arial Narrow"/>
          <w:sz w:val="24"/>
          <w:szCs w:val="24"/>
        </w:rPr>
        <w:t xml:space="preserve"> son una ampliación de la norma de atributos y </w:t>
      </w:r>
      <w:r w:rsidR="00247842" w:rsidRPr="00BF4160">
        <w:rPr>
          <w:rFonts w:ascii="Arial Narrow" w:hAnsi="Arial Narrow"/>
          <w:sz w:val="24"/>
          <w:szCs w:val="24"/>
        </w:rPr>
        <w:t>las normas de desempeño.</w:t>
      </w:r>
    </w:p>
    <w:p w:rsidR="00A33095" w:rsidRPr="00BF4160" w:rsidRDefault="00247842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>A continuación se presenta en síntesis algunos puntos importantes que se retoman en el apartado antes mencionado:</w:t>
      </w:r>
    </w:p>
    <w:p w:rsidR="00920D23" w:rsidRPr="00BF4160" w:rsidRDefault="00A33095" w:rsidP="00435F3F">
      <w:pPr>
        <w:spacing w:line="360" w:lineRule="auto"/>
        <w:jc w:val="both"/>
        <w:rPr>
          <w:rFonts w:ascii="Arial Narrow" w:hAnsi="Arial Narrow"/>
          <w:b/>
          <w:color w:val="548DD4" w:themeColor="text2" w:themeTint="99"/>
          <w:sz w:val="24"/>
          <w:szCs w:val="24"/>
        </w:rPr>
      </w:pPr>
      <w:r w:rsidRPr="00BF4160">
        <w:rPr>
          <w:rFonts w:ascii="Arial Narrow" w:hAnsi="Arial Narrow"/>
          <w:b/>
          <w:color w:val="548DD4" w:themeColor="text2" w:themeTint="99"/>
          <w:sz w:val="24"/>
          <w:szCs w:val="24"/>
        </w:rPr>
        <w:t>Estatuto de Auditoría Interna</w:t>
      </w:r>
    </w:p>
    <w:p w:rsidR="00247842" w:rsidRPr="00BF4160" w:rsidRDefault="00247842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 xml:space="preserve">Este nace de la norma 1000 que lleva </w:t>
      </w:r>
      <w:proofErr w:type="spellStart"/>
      <w:r w:rsidRPr="00BF4160">
        <w:rPr>
          <w:rFonts w:ascii="Arial Narrow" w:hAnsi="Arial Narrow"/>
          <w:sz w:val="24"/>
          <w:szCs w:val="24"/>
        </w:rPr>
        <w:t>ocmo</w:t>
      </w:r>
      <w:proofErr w:type="spellEnd"/>
      <w:r w:rsidRPr="00BF4160">
        <w:rPr>
          <w:rFonts w:ascii="Arial Narrow" w:hAnsi="Arial Narrow"/>
          <w:sz w:val="24"/>
          <w:szCs w:val="24"/>
        </w:rPr>
        <w:t xml:space="preserve"> tema propósito, autoridad y responsabilidad, este es un documento formal de gran importancia ya que el propósito y todas las responsabilidades de la actividad de auditoría interna deben estar formalmente definidos y contenidos en este documento, el cual será </w:t>
      </w:r>
      <w:r w:rsidR="007B406E" w:rsidRPr="00BF4160">
        <w:rPr>
          <w:rFonts w:ascii="Arial Narrow" w:hAnsi="Arial Narrow"/>
          <w:sz w:val="24"/>
          <w:szCs w:val="24"/>
        </w:rPr>
        <w:t>aprobado por el consejo de administración.</w:t>
      </w:r>
    </w:p>
    <w:p w:rsidR="00247842" w:rsidRPr="00BF4160" w:rsidRDefault="00247842" w:rsidP="00435F3F">
      <w:pPr>
        <w:spacing w:line="360" w:lineRule="auto"/>
        <w:jc w:val="both"/>
        <w:rPr>
          <w:rFonts w:ascii="Arial Narrow" w:hAnsi="Arial Narrow"/>
          <w:b/>
          <w:color w:val="0070C0"/>
          <w:sz w:val="24"/>
          <w:szCs w:val="24"/>
        </w:rPr>
      </w:pPr>
      <w:r w:rsidRPr="00BF4160">
        <w:rPr>
          <w:rFonts w:ascii="Arial Narrow" w:hAnsi="Arial Narrow"/>
          <w:b/>
          <w:color w:val="0070C0"/>
          <w:sz w:val="24"/>
          <w:szCs w:val="24"/>
        </w:rPr>
        <w:t>Independencia dentro de la organización.</w:t>
      </w:r>
    </w:p>
    <w:p w:rsidR="00247842" w:rsidRPr="00BF4160" w:rsidRDefault="00247842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BF4160">
        <w:rPr>
          <w:rFonts w:ascii="Arial Narrow" w:hAnsi="Arial Narrow"/>
          <w:sz w:val="24"/>
          <w:szCs w:val="24"/>
        </w:rPr>
        <w:t>para</w:t>
      </w:r>
      <w:proofErr w:type="gramEnd"/>
      <w:r w:rsidRPr="00BF4160">
        <w:rPr>
          <w:rFonts w:ascii="Arial Narrow" w:hAnsi="Arial Narrow"/>
          <w:sz w:val="24"/>
          <w:szCs w:val="24"/>
        </w:rPr>
        <w:t xml:space="preserve"> poder desempeñar eficaz y eficientemente el trabajo que la auditoria requiere es necesario tener independencia dentro de la entidad, lo cual generalmente se observa fácilmente con el hecho de si la actividad de </w:t>
      </w:r>
      <w:r w:rsidR="007B406E" w:rsidRPr="00BF4160">
        <w:rPr>
          <w:rFonts w:ascii="Arial Narrow" w:hAnsi="Arial Narrow"/>
          <w:sz w:val="24"/>
          <w:szCs w:val="24"/>
        </w:rPr>
        <w:t>auditoría</w:t>
      </w:r>
      <w:r w:rsidRPr="00BF4160">
        <w:rPr>
          <w:rFonts w:ascii="Arial Narrow" w:hAnsi="Arial Narrow"/>
          <w:sz w:val="24"/>
          <w:szCs w:val="24"/>
        </w:rPr>
        <w:t xml:space="preserve"> interna depende del nivel jerárquico  adecuado ya que de esto dependerá que el auditor interno pueda realizar su trabajo libre de interferencias.</w:t>
      </w:r>
      <w:r w:rsidR="007B406E" w:rsidRPr="00BF4160">
        <w:rPr>
          <w:rFonts w:ascii="Arial Narrow" w:hAnsi="Arial Narrow"/>
          <w:sz w:val="24"/>
          <w:szCs w:val="24"/>
        </w:rPr>
        <w:t xml:space="preserve"> Para ello como mínimo el DEA </w:t>
      </w:r>
      <w:proofErr w:type="gramStart"/>
      <w:r w:rsidR="007B406E" w:rsidRPr="00BF4160">
        <w:rPr>
          <w:rFonts w:ascii="Arial Narrow" w:hAnsi="Arial Narrow"/>
          <w:sz w:val="24"/>
          <w:szCs w:val="24"/>
        </w:rPr>
        <w:t>( Director</w:t>
      </w:r>
      <w:proofErr w:type="gramEnd"/>
      <w:r w:rsidR="007B406E" w:rsidRPr="00BF4160">
        <w:rPr>
          <w:rFonts w:ascii="Arial Narrow" w:hAnsi="Arial Narrow"/>
          <w:sz w:val="24"/>
          <w:szCs w:val="24"/>
        </w:rPr>
        <w:t xml:space="preserve"> Ejecutivo de Auditoria) debe depender de una persona en la organización que tenga suficiente autoridad para promover la independencia.</w:t>
      </w:r>
    </w:p>
    <w:p w:rsidR="007B406E" w:rsidRPr="00BF4160" w:rsidRDefault="007B406E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>La interacción entre el DEA y el Consejo de Administración debe ser directa, ya que como se mencionaba anteriormente eso ayudara a lograr la independencia.</w:t>
      </w:r>
    </w:p>
    <w:p w:rsidR="007B406E" w:rsidRPr="00BF4160" w:rsidRDefault="007B406E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>Un aspecto que el auditor interno no puede ni debe olvidar es que su trabajo debe ser realizado con la mayor actitud imparcial y neutral y a la vez evitar cualquier conflicto de intereses.</w:t>
      </w:r>
    </w:p>
    <w:p w:rsidR="007B406E" w:rsidRPr="00BF4160" w:rsidRDefault="007B406E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>Si por algún motivo hay impedimentos a la independencia y la objetividad ya sea de hecho o en apariencia esto debe ser comunicado a las partes correspondientes.</w:t>
      </w:r>
    </w:p>
    <w:p w:rsidR="007B406E" w:rsidRPr="00BF4160" w:rsidRDefault="007B406E" w:rsidP="00435F3F">
      <w:pPr>
        <w:spacing w:line="360" w:lineRule="auto"/>
        <w:jc w:val="both"/>
        <w:rPr>
          <w:rFonts w:ascii="Arial Narrow" w:hAnsi="Arial Narrow"/>
          <w:b/>
          <w:color w:val="0070C0"/>
          <w:sz w:val="24"/>
          <w:szCs w:val="24"/>
        </w:rPr>
      </w:pPr>
      <w:r w:rsidRPr="00BF4160">
        <w:rPr>
          <w:rFonts w:ascii="Arial Narrow" w:hAnsi="Arial Narrow"/>
          <w:b/>
          <w:color w:val="0070C0"/>
          <w:sz w:val="24"/>
          <w:szCs w:val="24"/>
        </w:rPr>
        <w:t>Aptitud y cuidado profesional</w:t>
      </w:r>
    </w:p>
    <w:p w:rsidR="007B406E" w:rsidRPr="00BF4160" w:rsidRDefault="007F55A3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 xml:space="preserve">Todo trabajo de auditoría interna debe ser realizado con aptitud y cuidado profesional, es decir el los auditores internos deben reunir los conocimientos, las aptitudes y otras competencias necesarias </w:t>
      </w:r>
      <w:r w:rsidRPr="00BF4160">
        <w:rPr>
          <w:rFonts w:ascii="Arial Narrow" w:hAnsi="Arial Narrow"/>
          <w:sz w:val="24"/>
          <w:szCs w:val="24"/>
        </w:rPr>
        <w:lastRenderedPageBreak/>
        <w:t>para cumplir con sus responsabilidades individuales; si por algún motivo no se sienten con los conocimientos y experiencia adecuada pueden obtener ayuda de proveedores externos de servicios para complementar la actividad de auditoría interna.</w:t>
      </w:r>
    </w:p>
    <w:p w:rsidR="007F55A3" w:rsidRPr="00BF4160" w:rsidRDefault="007F55A3" w:rsidP="00435F3F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>Ya adentrándose en el tema del cuidado profesional este se fundamenta en que el auditor interno debe cumplir su trabajo con el cuidado y la aptitud que se espera de un auditor interno razonablemente prudente y competente y para ello es necesario que éste esté en desarrollo profesional continuo lo cual puede logra mediante el perfeccionamiento de sus conocimientos, aptitudes y otras competencias mediante la capacitación profesional continua.</w:t>
      </w:r>
    </w:p>
    <w:p w:rsidR="007F55A3" w:rsidRPr="00BF4160" w:rsidRDefault="007F55A3" w:rsidP="00435F3F">
      <w:pPr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 xml:space="preserve">Se alienta a los auditores a demostrar su aptitud mediante </w:t>
      </w:r>
      <w:proofErr w:type="spellStart"/>
      <w:proofErr w:type="gramStart"/>
      <w:r w:rsidRPr="00BF4160">
        <w:rPr>
          <w:rFonts w:ascii="Arial Narrow" w:hAnsi="Arial Narrow"/>
          <w:sz w:val="24"/>
          <w:szCs w:val="24"/>
        </w:rPr>
        <w:t>al</w:t>
      </w:r>
      <w:proofErr w:type="spellEnd"/>
      <w:proofErr w:type="gramEnd"/>
      <w:r w:rsidRPr="00BF4160">
        <w:rPr>
          <w:rFonts w:ascii="Arial Narrow" w:hAnsi="Arial Narrow"/>
          <w:sz w:val="24"/>
          <w:szCs w:val="24"/>
        </w:rPr>
        <w:t xml:space="preserve"> obtención de una certificación profesional apropiada, tal como lo es la CIA (</w:t>
      </w:r>
      <w:proofErr w:type="spellStart"/>
      <w:r w:rsidRPr="00BF4160">
        <w:rPr>
          <w:rFonts w:ascii="Arial Narrow" w:hAnsi="Arial Narrow"/>
          <w:sz w:val="24"/>
          <w:szCs w:val="24"/>
        </w:rPr>
        <w:t>Certified</w:t>
      </w:r>
      <w:proofErr w:type="spellEnd"/>
      <w:r w:rsidRPr="00BF4160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BF4160">
        <w:rPr>
          <w:rFonts w:ascii="Arial Narrow" w:hAnsi="Arial Narrow"/>
          <w:sz w:val="24"/>
          <w:szCs w:val="24"/>
        </w:rPr>
        <w:t>Internal</w:t>
      </w:r>
      <w:proofErr w:type="spellEnd"/>
      <w:r w:rsidRPr="00BF4160">
        <w:rPr>
          <w:rFonts w:ascii="Arial Narrow" w:hAnsi="Arial Narrow"/>
          <w:sz w:val="24"/>
          <w:szCs w:val="24"/>
        </w:rPr>
        <w:t xml:space="preserve"> Auditor- Auditor Interno Certificado)</w:t>
      </w:r>
    </w:p>
    <w:p w:rsidR="007F55A3" w:rsidRPr="00BF4160" w:rsidRDefault="007F55A3" w:rsidP="00435F3F">
      <w:pPr>
        <w:jc w:val="both"/>
        <w:rPr>
          <w:rFonts w:ascii="Arial Narrow" w:hAnsi="Arial Narrow"/>
          <w:color w:val="0070C0"/>
          <w:sz w:val="24"/>
          <w:szCs w:val="24"/>
        </w:rPr>
      </w:pPr>
      <w:r w:rsidRPr="00BF4160">
        <w:rPr>
          <w:rFonts w:ascii="Arial Narrow" w:hAnsi="Arial Narrow"/>
          <w:color w:val="0070C0"/>
          <w:sz w:val="24"/>
          <w:szCs w:val="24"/>
        </w:rPr>
        <w:t>Programa de aseguramiento y mejora de la calidad</w:t>
      </w:r>
    </w:p>
    <w:p w:rsidR="007F55A3" w:rsidRPr="00BF4160" w:rsidRDefault="00106DBF" w:rsidP="00435F3F">
      <w:pPr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>El programa de aseguramiento debe permitir la evaluación del cumplimiento de la definición de auditoría interna y las Normas por parte de la actividad de la auditoría interna.</w:t>
      </w:r>
    </w:p>
    <w:p w:rsidR="00106DBF" w:rsidRPr="00BF4160" w:rsidRDefault="00106DBF" w:rsidP="00435F3F">
      <w:pPr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 xml:space="preserve">Con el programa antes mencionado se debe evaluar y dar conclusión sobre el cumplimiento del código de ética y las normas, la adecuación del estatuto a las metas, objetivos, las políticas y los procedimientos de la organización </w:t>
      </w:r>
      <w:proofErr w:type="spellStart"/>
      <w:r w:rsidRPr="00BF4160">
        <w:rPr>
          <w:rFonts w:ascii="Arial Narrow" w:hAnsi="Arial Narrow"/>
          <w:sz w:val="24"/>
          <w:szCs w:val="24"/>
        </w:rPr>
        <w:t>asi</w:t>
      </w:r>
      <w:proofErr w:type="spellEnd"/>
      <w:r w:rsidRPr="00BF4160">
        <w:rPr>
          <w:rFonts w:ascii="Arial Narrow" w:hAnsi="Arial Narrow"/>
          <w:sz w:val="24"/>
          <w:szCs w:val="24"/>
        </w:rPr>
        <w:t xml:space="preserve"> como también el cumplimiento de las leyes y reglamentaciones gubernamentales o del sector económico que sean aplicables.</w:t>
      </w:r>
    </w:p>
    <w:p w:rsidR="00106DBF" w:rsidRPr="00BF4160" w:rsidRDefault="00106DBF" w:rsidP="00435F3F">
      <w:pPr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 xml:space="preserve">También se pueden realizar tanto evaluaciones internas como externas las cuales son en el caso de la evaluación interna para evaluar el seguimiento continuo del desempeño de la </w:t>
      </w:r>
      <w:r w:rsidR="00BF4160" w:rsidRPr="00BF4160">
        <w:rPr>
          <w:rFonts w:ascii="Arial Narrow" w:hAnsi="Arial Narrow"/>
          <w:sz w:val="24"/>
          <w:szCs w:val="24"/>
        </w:rPr>
        <w:t>auditoría</w:t>
      </w:r>
      <w:r w:rsidRPr="00BF4160">
        <w:rPr>
          <w:rFonts w:ascii="Arial Narrow" w:hAnsi="Arial Narrow"/>
          <w:sz w:val="24"/>
          <w:szCs w:val="24"/>
        </w:rPr>
        <w:t xml:space="preserve"> interna; en el caso de la evaluación externa esta se debe realizar al menos una vez cada cinco años por un revisor o equipo de revisión cualificado e independiente, proveniente de fuera de </w:t>
      </w:r>
      <w:proofErr w:type="spellStart"/>
      <w:r w:rsidRPr="00BF4160">
        <w:rPr>
          <w:rFonts w:ascii="Arial Narrow" w:hAnsi="Arial Narrow"/>
          <w:sz w:val="24"/>
          <w:szCs w:val="24"/>
        </w:rPr>
        <w:t>al</w:t>
      </w:r>
      <w:proofErr w:type="spellEnd"/>
      <w:r w:rsidRPr="00BF4160">
        <w:rPr>
          <w:rFonts w:ascii="Arial Narrow" w:hAnsi="Arial Narrow"/>
          <w:sz w:val="24"/>
          <w:szCs w:val="24"/>
        </w:rPr>
        <w:t xml:space="preserve"> organización.</w:t>
      </w:r>
    </w:p>
    <w:p w:rsidR="00BF4160" w:rsidRPr="00BF4160" w:rsidRDefault="00BF4160" w:rsidP="00435F3F">
      <w:pPr>
        <w:jc w:val="both"/>
        <w:rPr>
          <w:rFonts w:ascii="Arial Narrow" w:hAnsi="Arial Narrow"/>
          <w:b/>
          <w:sz w:val="24"/>
          <w:szCs w:val="24"/>
        </w:rPr>
      </w:pPr>
      <w:r w:rsidRPr="00BF4160">
        <w:rPr>
          <w:rFonts w:ascii="Arial Narrow" w:hAnsi="Arial Narrow"/>
          <w:b/>
          <w:color w:val="0070C0"/>
          <w:sz w:val="24"/>
          <w:szCs w:val="24"/>
        </w:rPr>
        <w:t>Utilización de “Cumple con Normas Internacionales para el Ejercicio Profesional de la Auditoría Interna</w:t>
      </w:r>
      <w:r w:rsidRPr="00BF4160">
        <w:rPr>
          <w:rFonts w:ascii="Arial Narrow" w:hAnsi="Arial Narrow"/>
          <w:b/>
          <w:sz w:val="24"/>
          <w:szCs w:val="24"/>
        </w:rPr>
        <w:t>”</w:t>
      </w:r>
    </w:p>
    <w:p w:rsidR="00BF4160" w:rsidRPr="00BF4160" w:rsidRDefault="00BF4160" w:rsidP="00435F3F">
      <w:pPr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>El auditor puede manifestar que la actividad de auditoría interna cumple con las Normas Internacionales para el Ejercicio Profesional de la Auditoría Interna solo si los resultados del programa de aseguramiento y mejora de la calidad apoyan esa declaración.</w:t>
      </w:r>
    </w:p>
    <w:p w:rsidR="00BF4160" w:rsidRPr="00BF4160" w:rsidRDefault="00BF4160" w:rsidP="00435F3F">
      <w:pPr>
        <w:jc w:val="both"/>
        <w:rPr>
          <w:rFonts w:ascii="Arial Narrow" w:hAnsi="Arial Narrow"/>
          <w:b/>
          <w:color w:val="0070C0"/>
          <w:sz w:val="24"/>
          <w:szCs w:val="24"/>
        </w:rPr>
      </w:pPr>
      <w:r w:rsidRPr="00BF4160">
        <w:rPr>
          <w:rFonts w:ascii="Arial Narrow" w:hAnsi="Arial Narrow"/>
          <w:b/>
          <w:color w:val="0070C0"/>
          <w:sz w:val="24"/>
          <w:szCs w:val="24"/>
        </w:rPr>
        <w:t>Alcance del plan de auditoría con los riesgos y exposiciones</w:t>
      </w:r>
    </w:p>
    <w:p w:rsidR="00BF4160" w:rsidRPr="00BF4160" w:rsidRDefault="00BF4160" w:rsidP="00435F3F">
      <w:pPr>
        <w:jc w:val="both"/>
        <w:rPr>
          <w:rFonts w:ascii="Arial Narrow" w:hAnsi="Arial Narrow"/>
          <w:sz w:val="24"/>
          <w:szCs w:val="24"/>
        </w:rPr>
      </w:pPr>
      <w:r w:rsidRPr="00BF4160">
        <w:rPr>
          <w:rFonts w:ascii="Arial Narrow" w:hAnsi="Arial Narrow"/>
          <w:sz w:val="24"/>
          <w:szCs w:val="24"/>
        </w:rPr>
        <w:t>En dichos planes el DEA debe establecer planes basados en los riesgos, a fin de determinar las prioridades de la actividad de auditoría interna para lo cual debe considerar también las metas de la organización.</w:t>
      </w:r>
    </w:p>
    <w:p w:rsidR="00BF4160" w:rsidRPr="00BF4160" w:rsidRDefault="00BF4160" w:rsidP="00435F3F">
      <w:pPr>
        <w:jc w:val="both"/>
        <w:rPr>
          <w:rFonts w:ascii="Arial Narrow" w:hAnsi="Arial Narrow"/>
          <w:sz w:val="24"/>
          <w:szCs w:val="24"/>
        </w:rPr>
      </w:pPr>
    </w:p>
    <w:sectPr w:rsidR="00BF4160" w:rsidRPr="00BF4160" w:rsidSect="00A33095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FC6" w:rsidRDefault="00474FC6" w:rsidP="00A33095">
      <w:pPr>
        <w:spacing w:after="0" w:line="240" w:lineRule="auto"/>
      </w:pPr>
      <w:r>
        <w:separator/>
      </w:r>
    </w:p>
  </w:endnote>
  <w:endnote w:type="continuationSeparator" w:id="0">
    <w:p w:rsidR="00474FC6" w:rsidRDefault="00474FC6" w:rsidP="00A33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FC6" w:rsidRDefault="00474FC6" w:rsidP="00A33095">
      <w:pPr>
        <w:spacing w:after="0" w:line="240" w:lineRule="auto"/>
      </w:pPr>
      <w:r>
        <w:separator/>
      </w:r>
    </w:p>
  </w:footnote>
  <w:footnote w:type="continuationSeparator" w:id="0">
    <w:p w:rsidR="00474FC6" w:rsidRDefault="00474FC6" w:rsidP="00A33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095" w:rsidRDefault="00A3309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50FE2"/>
    <w:multiLevelType w:val="hybridMultilevel"/>
    <w:tmpl w:val="2A1E2FF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095"/>
    <w:rsid w:val="00106DBF"/>
    <w:rsid w:val="00247842"/>
    <w:rsid w:val="00435F3F"/>
    <w:rsid w:val="00474FC6"/>
    <w:rsid w:val="007B406E"/>
    <w:rsid w:val="007F55A3"/>
    <w:rsid w:val="00920D23"/>
    <w:rsid w:val="00A33095"/>
    <w:rsid w:val="00BF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D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3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30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3309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330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33095"/>
  </w:style>
  <w:style w:type="paragraph" w:styleId="Piedepgina">
    <w:name w:val="footer"/>
    <w:basedOn w:val="Normal"/>
    <w:link w:val="PiedepginaCar"/>
    <w:uiPriority w:val="99"/>
    <w:semiHidden/>
    <w:unhideWhenUsed/>
    <w:rsid w:val="00A330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330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25C81B-D472-4C8A-9AB1-3312B918B9B2}" type="doc">
      <dgm:prSet loTypeId="urn:microsoft.com/office/officeart/2005/8/layout/radial4" loCatId="relationship" qsTypeId="urn:microsoft.com/office/officeart/2005/8/quickstyle/3d1" qsCatId="3D" csTypeId="urn:microsoft.com/office/officeart/2005/8/colors/colorful3" csCatId="colorful" phldr="1"/>
      <dgm:spPr/>
      <dgm:t>
        <a:bodyPr/>
        <a:lstStyle/>
        <a:p>
          <a:endParaRPr lang="es-SV"/>
        </a:p>
      </dgm:t>
    </dgm:pt>
    <dgm:pt modelId="{16E9C66A-4C19-4CD5-BB8C-237288DDAE9A}">
      <dgm:prSet phldrT="[Texto]"/>
      <dgm:spPr/>
      <dgm:t>
        <a:bodyPr/>
        <a:lstStyle/>
        <a:p>
          <a:r>
            <a:rPr lang="es-SV"/>
            <a:t>CONSEJOS PARA LA PRACTICA</a:t>
          </a:r>
        </a:p>
      </dgm:t>
    </dgm:pt>
    <dgm:pt modelId="{8F8AFB84-87CA-4B0C-87F1-7B1EFBFA516C}" type="parTrans" cxnId="{3F86B2CA-8720-4169-A3C7-0B442699B1CD}">
      <dgm:prSet/>
      <dgm:spPr/>
      <dgm:t>
        <a:bodyPr/>
        <a:lstStyle/>
        <a:p>
          <a:endParaRPr lang="es-SV"/>
        </a:p>
      </dgm:t>
    </dgm:pt>
    <dgm:pt modelId="{C62E4322-BF64-4BF4-A6FE-B538931618AF}" type="sibTrans" cxnId="{3F86B2CA-8720-4169-A3C7-0B442699B1CD}">
      <dgm:prSet/>
      <dgm:spPr/>
      <dgm:t>
        <a:bodyPr/>
        <a:lstStyle/>
        <a:p>
          <a:endParaRPr lang="es-SV"/>
        </a:p>
      </dgm:t>
    </dgm:pt>
    <dgm:pt modelId="{C094F6F3-E873-4723-A4FE-D5667577BF9E}">
      <dgm:prSet phldrT="[Texto]"/>
      <dgm:spPr/>
      <dgm:t>
        <a:bodyPr/>
        <a:lstStyle/>
        <a:p>
          <a:r>
            <a:rPr lang="es-SV"/>
            <a:t>Estatuto de Auditoria Interna</a:t>
          </a:r>
        </a:p>
      </dgm:t>
    </dgm:pt>
    <dgm:pt modelId="{C317D8A6-74E8-4260-9467-5B16088F3FE5}" type="parTrans" cxnId="{CAC8F957-EBC4-4CEB-B480-4E288CDEA18B}">
      <dgm:prSet/>
      <dgm:spPr/>
      <dgm:t>
        <a:bodyPr/>
        <a:lstStyle/>
        <a:p>
          <a:endParaRPr lang="es-SV"/>
        </a:p>
      </dgm:t>
    </dgm:pt>
    <dgm:pt modelId="{42ADBDE5-20A8-4E26-B93F-529A6D7E5A52}" type="sibTrans" cxnId="{CAC8F957-EBC4-4CEB-B480-4E288CDEA18B}">
      <dgm:prSet/>
      <dgm:spPr/>
      <dgm:t>
        <a:bodyPr/>
        <a:lstStyle/>
        <a:p>
          <a:endParaRPr lang="es-SV"/>
        </a:p>
      </dgm:t>
    </dgm:pt>
    <dgm:pt modelId="{1217314E-2609-4587-B039-0B5DF8A04121}">
      <dgm:prSet phldrT="[Texto]"/>
      <dgm:spPr/>
      <dgm:t>
        <a:bodyPr/>
        <a:lstStyle/>
        <a:p>
          <a:r>
            <a:rPr lang="es-SV"/>
            <a:t>Independencia dentro de la organizacion</a:t>
          </a:r>
        </a:p>
      </dgm:t>
    </dgm:pt>
    <dgm:pt modelId="{7678296D-E3B3-4528-82B3-1E05088835BB}" type="parTrans" cxnId="{FC87D943-14A4-4F9C-8795-A2657321E995}">
      <dgm:prSet/>
      <dgm:spPr/>
      <dgm:t>
        <a:bodyPr/>
        <a:lstStyle/>
        <a:p>
          <a:endParaRPr lang="es-SV"/>
        </a:p>
      </dgm:t>
    </dgm:pt>
    <dgm:pt modelId="{9D40ADDD-2FAF-4B77-A5C7-6C1B96E3281E}" type="sibTrans" cxnId="{FC87D943-14A4-4F9C-8795-A2657321E995}">
      <dgm:prSet/>
      <dgm:spPr/>
      <dgm:t>
        <a:bodyPr/>
        <a:lstStyle/>
        <a:p>
          <a:endParaRPr lang="es-SV"/>
        </a:p>
      </dgm:t>
    </dgm:pt>
    <dgm:pt modelId="{AC6DDBF2-E4B7-4506-AD76-57A252043316}">
      <dgm:prSet phldrT="[Texto]"/>
      <dgm:spPr/>
      <dgm:t>
        <a:bodyPr/>
        <a:lstStyle/>
        <a:p>
          <a:r>
            <a:rPr lang="es-SV"/>
            <a:t>Aptitud y Cuidado Profesional</a:t>
          </a:r>
        </a:p>
      </dgm:t>
    </dgm:pt>
    <dgm:pt modelId="{C9B065C0-BAA4-43C6-B7A9-07B4177CB76D}" type="parTrans" cxnId="{5E571A65-1286-4168-A39E-E9F797FC18AD}">
      <dgm:prSet/>
      <dgm:spPr/>
      <dgm:t>
        <a:bodyPr/>
        <a:lstStyle/>
        <a:p>
          <a:endParaRPr lang="es-SV"/>
        </a:p>
      </dgm:t>
    </dgm:pt>
    <dgm:pt modelId="{6167876E-38CD-4498-B579-A0D9E8C457F0}" type="sibTrans" cxnId="{5E571A65-1286-4168-A39E-E9F797FC18AD}">
      <dgm:prSet/>
      <dgm:spPr/>
      <dgm:t>
        <a:bodyPr/>
        <a:lstStyle/>
        <a:p>
          <a:endParaRPr lang="es-SV"/>
        </a:p>
      </dgm:t>
    </dgm:pt>
    <dgm:pt modelId="{015995E5-FDF1-4739-AA28-4BF34F6D3752}">
      <dgm:prSet phldrT="[Texto]"/>
      <dgm:spPr/>
      <dgm:t>
        <a:bodyPr/>
        <a:lstStyle/>
        <a:p>
          <a:r>
            <a:rPr lang="es-SV"/>
            <a:t>Programa de aseguramiento y Mejora de Calidad</a:t>
          </a:r>
        </a:p>
      </dgm:t>
    </dgm:pt>
    <dgm:pt modelId="{FCDA36F6-858A-4BD7-9F27-B8C2D2BED948}" type="parTrans" cxnId="{14D2F405-F31D-4FEE-A579-4003E6B8EBA1}">
      <dgm:prSet/>
      <dgm:spPr/>
      <dgm:t>
        <a:bodyPr/>
        <a:lstStyle/>
        <a:p>
          <a:endParaRPr lang="es-SV"/>
        </a:p>
      </dgm:t>
    </dgm:pt>
    <dgm:pt modelId="{85AE52EA-6188-40EE-ADF1-3156BA4D51AF}" type="sibTrans" cxnId="{14D2F405-F31D-4FEE-A579-4003E6B8EBA1}">
      <dgm:prSet/>
      <dgm:spPr/>
      <dgm:t>
        <a:bodyPr/>
        <a:lstStyle/>
        <a:p>
          <a:endParaRPr lang="es-SV"/>
        </a:p>
      </dgm:t>
    </dgm:pt>
    <dgm:pt modelId="{54B8AE94-C012-456B-880F-3C2D6C457DDE}">
      <dgm:prSet phldrT="[Texto]"/>
      <dgm:spPr/>
      <dgm:t>
        <a:bodyPr/>
        <a:lstStyle/>
        <a:p>
          <a:r>
            <a:rPr lang="es-SV"/>
            <a:t>Utilizacion de "Cumple con las Normas Internacionales de Auditoria Interna"</a:t>
          </a:r>
        </a:p>
      </dgm:t>
    </dgm:pt>
    <dgm:pt modelId="{04E6C2C2-95DB-44F1-8D37-F175FB3D3E64}" type="parTrans" cxnId="{3754F01B-BCAD-4F99-964A-339C9E024F45}">
      <dgm:prSet/>
      <dgm:spPr/>
      <dgm:t>
        <a:bodyPr/>
        <a:lstStyle/>
        <a:p>
          <a:endParaRPr lang="es-SV"/>
        </a:p>
      </dgm:t>
    </dgm:pt>
    <dgm:pt modelId="{2235D9C0-B384-496B-BD26-A60BFD81C2DB}" type="sibTrans" cxnId="{3754F01B-BCAD-4F99-964A-339C9E024F45}">
      <dgm:prSet/>
      <dgm:spPr/>
      <dgm:t>
        <a:bodyPr/>
        <a:lstStyle/>
        <a:p>
          <a:endParaRPr lang="es-SV"/>
        </a:p>
      </dgm:t>
    </dgm:pt>
    <dgm:pt modelId="{09F5A857-C49F-4D21-A226-FCFBCB014794}">
      <dgm:prSet phldrT="[Texto]"/>
      <dgm:spPr/>
      <dgm:t>
        <a:bodyPr/>
        <a:lstStyle/>
        <a:p>
          <a:r>
            <a:rPr lang="es-SV"/>
            <a:t>Enlace del plan de audiroria con los riesgos y exposiciones</a:t>
          </a:r>
        </a:p>
      </dgm:t>
    </dgm:pt>
    <dgm:pt modelId="{40E205E3-D4AE-414D-9198-3956656C133B}" type="parTrans" cxnId="{8EAA4E25-FBDE-4BE2-8D76-AFAD369BCFE3}">
      <dgm:prSet/>
      <dgm:spPr/>
      <dgm:t>
        <a:bodyPr/>
        <a:lstStyle/>
        <a:p>
          <a:endParaRPr lang="es-SV"/>
        </a:p>
      </dgm:t>
    </dgm:pt>
    <dgm:pt modelId="{812C87EA-7798-468E-A8FE-87442E4410C6}" type="sibTrans" cxnId="{8EAA4E25-FBDE-4BE2-8D76-AFAD369BCFE3}">
      <dgm:prSet/>
      <dgm:spPr/>
      <dgm:t>
        <a:bodyPr/>
        <a:lstStyle/>
        <a:p>
          <a:endParaRPr lang="es-SV"/>
        </a:p>
      </dgm:t>
    </dgm:pt>
    <dgm:pt modelId="{DE76C870-63E4-4B90-9874-64F85B7C2CD6}">
      <dgm:prSet/>
      <dgm:spPr/>
    </dgm:pt>
    <dgm:pt modelId="{24622BD2-DBC8-49F4-B5E1-CFCDF6F79A6A}" type="parTrans" cxnId="{FAA8C322-05FD-4E41-B6CD-19BC9502E24D}">
      <dgm:prSet/>
      <dgm:spPr/>
      <dgm:t>
        <a:bodyPr/>
        <a:lstStyle/>
        <a:p>
          <a:endParaRPr lang="es-SV"/>
        </a:p>
      </dgm:t>
    </dgm:pt>
    <dgm:pt modelId="{5A254C81-FD85-4E47-83E6-DDA4129F5D33}" type="sibTrans" cxnId="{FAA8C322-05FD-4E41-B6CD-19BC9502E24D}">
      <dgm:prSet/>
      <dgm:spPr/>
      <dgm:t>
        <a:bodyPr/>
        <a:lstStyle/>
        <a:p>
          <a:endParaRPr lang="es-SV"/>
        </a:p>
      </dgm:t>
    </dgm:pt>
    <dgm:pt modelId="{D10403AD-4C7D-44C7-B2D9-29477737763D}" type="pres">
      <dgm:prSet presAssocID="{2F25C81B-D472-4C8A-9AB1-3312B918B9B2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FD2BC561-A153-48D4-97B3-92BCE7F2F8E6}" type="pres">
      <dgm:prSet presAssocID="{16E9C66A-4C19-4CD5-BB8C-237288DDAE9A}" presName="centerShape" presStyleLbl="node0" presStyleIdx="0" presStyleCnt="1"/>
      <dgm:spPr/>
    </dgm:pt>
    <dgm:pt modelId="{3E0FBCCC-42FA-4D4F-84C7-A96CAE5F7D8C}" type="pres">
      <dgm:prSet presAssocID="{C317D8A6-74E8-4260-9467-5B16088F3FE5}" presName="parTrans" presStyleLbl="bgSibTrans2D1" presStyleIdx="0" presStyleCnt="6"/>
      <dgm:spPr/>
    </dgm:pt>
    <dgm:pt modelId="{19F39140-6220-423E-B01B-8C305C3FCBEC}" type="pres">
      <dgm:prSet presAssocID="{C094F6F3-E873-4723-A4FE-D5667577BF9E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7C4B7163-031C-4826-BAC5-5209B0EB1C0A}" type="pres">
      <dgm:prSet presAssocID="{7678296D-E3B3-4528-82B3-1E05088835BB}" presName="parTrans" presStyleLbl="bgSibTrans2D1" presStyleIdx="1" presStyleCnt="6"/>
      <dgm:spPr/>
    </dgm:pt>
    <dgm:pt modelId="{5F5902BF-4589-4813-9AD0-970A5DEE5D96}" type="pres">
      <dgm:prSet presAssocID="{1217314E-2609-4587-B039-0B5DF8A04121}" presName="node" presStyleLbl="node1" presStyleIdx="1" presStyleCnt="6">
        <dgm:presLayoutVars>
          <dgm:bulletEnabled val="1"/>
        </dgm:presLayoutVars>
      </dgm:prSet>
      <dgm:spPr/>
    </dgm:pt>
    <dgm:pt modelId="{C96A18A6-9DC3-4D05-8E24-124924184E23}" type="pres">
      <dgm:prSet presAssocID="{C9B065C0-BAA4-43C6-B7A9-07B4177CB76D}" presName="parTrans" presStyleLbl="bgSibTrans2D1" presStyleIdx="2" presStyleCnt="6"/>
      <dgm:spPr/>
    </dgm:pt>
    <dgm:pt modelId="{7F71E8D6-3917-407A-9B3E-FD874E1B415F}" type="pres">
      <dgm:prSet presAssocID="{AC6DDBF2-E4B7-4506-AD76-57A252043316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044B1786-6127-42A9-8D3A-B3177E791650}" type="pres">
      <dgm:prSet presAssocID="{FCDA36F6-858A-4BD7-9F27-B8C2D2BED948}" presName="parTrans" presStyleLbl="bgSibTrans2D1" presStyleIdx="3" presStyleCnt="6"/>
      <dgm:spPr/>
    </dgm:pt>
    <dgm:pt modelId="{30D3E1E4-F56D-4712-8B64-0C32A30B28CC}" type="pres">
      <dgm:prSet presAssocID="{015995E5-FDF1-4739-AA28-4BF34F6D3752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E401F642-0908-42B0-A109-039BC8F9F24F}" type="pres">
      <dgm:prSet presAssocID="{04E6C2C2-95DB-44F1-8D37-F175FB3D3E64}" presName="parTrans" presStyleLbl="bgSibTrans2D1" presStyleIdx="4" presStyleCnt="6"/>
      <dgm:spPr/>
    </dgm:pt>
    <dgm:pt modelId="{8BDB6DD5-5CAB-4205-9712-585A0C677592}" type="pres">
      <dgm:prSet presAssocID="{54B8AE94-C012-456B-880F-3C2D6C457DDE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0372E937-417F-4E2C-8999-FD50B0177663}" type="pres">
      <dgm:prSet presAssocID="{40E205E3-D4AE-414D-9198-3956656C133B}" presName="parTrans" presStyleLbl="bgSibTrans2D1" presStyleIdx="5" presStyleCnt="6"/>
      <dgm:spPr/>
    </dgm:pt>
    <dgm:pt modelId="{7FBDAA4C-779F-4A0F-AA12-4F712ECA9CA5}" type="pres">
      <dgm:prSet presAssocID="{09F5A857-C49F-4D21-A226-FCFBCB014794}" presName="node" presStyleLbl="node1" presStyleIdx="5" presStyleCnt="6">
        <dgm:presLayoutVars>
          <dgm:bulletEnabled val="1"/>
        </dgm:presLayoutVars>
      </dgm:prSet>
      <dgm:spPr/>
    </dgm:pt>
  </dgm:ptLst>
  <dgm:cxnLst>
    <dgm:cxn modelId="{4F308C52-A1E6-441E-8907-23071D44FD4D}" type="presOf" srcId="{015995E5-FDF1-4739-AA28-4BF34F6D3752}" destId="{30D3E1E4-F56D-4712-8B64-0C32A30B28CC}" srcOrd="0" destOrd="0" presId="urn:microsoft.com/office/officeart/2005/8/layout/radial4"/>
    <dgm:cxn modelId="{C1CB983F-D627-46B0-83E1-B64AD9A31A71}" type="presOf" srcId="{FCDA36F6-858A-4BD7-9F27-B8C2D2BED948}" destId="{044B1786-6127-42A9-8D3A-B3177E791650}" srcOrd="0" destOrd="0" presId="urn:microsoft.com/office/officeart/2005/8/layout/radial4"/>
    <dgm:cxn modelId="{69EDA389-0011-4E4B-B705-DB0C8171D841}" type="presOf" srcId="{04E6C2C2-95DB-44F1-8D37-F175FB3D3E64}" destId="{E401F642-0908-42B0-A109-039BC8F9F24F}" srcOrd="0" destOrd="0" presId="urn:microsoft.com/office/officeart/2005/8/layout/radial4"/>
    <dgm:cxn modelId="{FC87D943-14A4-4F9C-8795-A2657321E995}" srcId="{16E9C66A-4C19-4CD5-BB8C-237288DDAE9A}" destId="{1217314E-2609-4587-B039-0B5DF8A04121}" srcOrd="1" destOrd="0" parTransId="{7678296D-E3B3-4528-82B3-1E05088835BB}" sibTransId="{9D40ADDD-2FAF-4B77-A5C7-6C1B96E3281E}"/>
    <dgm:cxn modelId="{332DDDE7-4012-4366-ABFC-3ACAB7AC8E1D}" type="presOf" srcId="{C9B065C0-BAA4-43C6-B7A9-07B4177CB76D}" destId="{C96A18A6-9DC3-4D05-8E24-124924184E23}" srcOrd="0" destOrd="0" presId="urn:microsoft.com/office/officeart/2005/8/layout/radial4"/>
    <dgm:cxn modelId="{4830CF44-A17E-48FF-BFAD-A561C2CC3E1E}" type="presOf" srcId="{C317D8A6-74E8-4260-9467-5B16088F3FE5}" destId="{3E0FBCCC-42FA-4D4F-84C7-A96CAE5F7D8C}" srcOrd="0" destOrd="0" presId="urn:microsoft.com/office/officeart/2005/8/layout/radial4"/>
    <dgm:cxn modelId="{097B00C9-4F50-47B9-8797-68C877F9FA44}" type="presOf" srcId="{54B8AE94-C012-456B-880F-3C2D6C457DDE}" destId="{8BDB6DD5-5CAB-4205-9712-585A0C677592}" srcOrd="0" destOrd="0" presId="urn:microsoft.com/office/officeart/2005/8/layout/radial4"/>
    <dgm:cxn modelId="{4F0F88C8-A929-4932-B3BA-FA50F6CFA194}" type="presOf" srcId="{09F5A857-C49F-4D21-A226-FCFBCB014794}" destId="{7FBDAA4C-779F-4A0F-AA12-4F712ECA9CA5}" srcOrd="0" destOrd="0" presId="urn:microsoft.com/office/officeart/2005/8/layout/radial4"/>
    <dgm:cxn modelId="{CAC8F957-EBC4-4CEB-B480-4E288CDEA18B}" srcId="{16E9C66A-4C19-4CD5-BB8C-237288DDAE9A}" destId="{C094F6F3-E873-4723-A4FE-D5667577BF9E}" srcOrd="0" destOrd="0" parTransId="{C317D8A6-74E8-4260-9467-5B16088F3FE5}" sibTransId="{42ADBDE5-20A8-4E26-B93F-529A6D7E5A52}"/>
    <dgm:cxn modelId="{B6A9E631-239A-48F4-984F-67F7C5339E62}" type="presOf" srcId="{40E205E3-D4AE-414D-9198-3956656C133B}" destId="{0372E937-417F-4E2C-8999-FD50B0177663}" srcOrd="0" destOrd="0" presId="urn:microsoft.com/office/officeart/2005/8/layout/radial4"/>
    <dgm:cxn modelId="{3754F01B-BCAD-4F99-964A-339C9E024F45}" srcId="{16E9C66A-4C19-4CD5-BB8C-237288DDAE9A}" destId="{54B8AE94-C012-456B-880F-3C2D6C457DDE}" srcOrd="4" destOrd="0" parTransId="{04E6C2C2-95DB-44F1-8D37-F175FB3D3E64}" sibTransId="{2235D9C0-B384-496B-BD26-A60BFD81C2DB}"/>
    <dgm:cxn modelId="{2E6502C4-43DD-428E-B739-F4F9EC276484}" type="presOf" srcId="{C094F6F3-E873-4723-A4FE-D5667577BF9E}" destId="{19F39140-6220-423E-B01B-8C305C3FCBEC}" srcOrd="0" destOrd="0" presId="urn:microsoft.com/office/officeart/2005/8/layout/radial4"/>
    <dgm:cxn modelId="{8884BED6-6030-4B89-867F-E03A73FC25B8}" type="presOf" srcId="{16E9C66A-4C19-4CD5-BB8C-237288DDAE9A}" destId="{FD2BC561-A153-48D4-97B3-92BCE7F2F8E6}" srcOrd="0" destOrd="0" presId="urn:microsoft.com/office/officeart/2005/8/layout/radial4"/>
    <dgm:cxn modelId="{14D2F405-F31D-4FEE-A579-4003E6B8EBA1}" srcId="{16E9C66A-4C19-4CD5-BB8C-237288DDAE9A}" destId="{015995E5-FDF1-4739-AA28-4BF34F6D3752}" srcOrd="3" destOrd="0" parTransId="{FCDA36F6-858A-4BD7-9F27-B8C2D2BED948}" sibTransId="{85AE52EA-6188-40EE-ADF1-3156BA4D51AF}"/>
    <dgm:cxn modelId="{5E571A65-1286-4168-A39E-E9F797FC18AD}" srcId="{16E9C66A-4C19-4CD5-BB8C-237288DDAE9A}" destId="{AC6DDBF2-E4B7-4506-AD76-57A252043316}" srcOrd="2" destOrd="0" parTransId="{C9B065C0-BAA4-43C6-B7A9-07B4177CB76D}" sibTransId="{6167876E-38CD-4498-B579-A0D9E8C457F0}"/>
    <dgm:cxn modelId="{FAA8C322-05FD-4E41-B6CD-19BC9502E24D}" srcId="{2F25C81B-D472-4C8A-9AB1-3312B918B9B2}" destId="{DE76C870-63E4-4B90-9874-64F85B7C2CD6}" srcOrd="1" destOrd="0" parTransId="{24622BD2-DBC8-49F4-B5E1-CFCDF6F79A6A}" sibTransId="{5A254C81-FD85-4E47-83E6-DDA4129F5D33}"/>
    <dgm:cxn modelId="{3F86B2CA-8720-4169-A3C7-0B442699B1CD}" srcId="{2F25C81B-D472-4C8A-9AB1-3312B918B9B2}" destId="{16E9C66A-4C19-4CD5-BB8C-237288DDAE9A}" srcOrd="0" destOrd="0" parTransId="{8F8AFB84-87CA-4B0C-87F1-7B1EFBFA516C}" sibTransId="{C62E4322-BF64-4BF4-A6FE-B538931618AF}"/>
    <dgm:cxn modelId="{E6C0C0F2-2EBE-42DC-92C0-8068202AD50E}" type="presOf" srcId="{1217314E-2609-4587-B039-0B5DF8A04121}" destId="{5F5902BF-4589-4813-9AD0-970A5DEE5D96}" srcOrd="0" destOrd="0" presId="urn:microsoft.com/office/officeart/2005/8/layout/radial4"/>
    <dgm:cxn modelId="{CBC84620-4DB5-4D2C-9412-5499BDEBBD1D}" type="presOf" srcId="{AC6DDBF2-E4B7-4506-AD76-57A252043316}" destId="{7F71E8D6-3917-407A-9B3E-FD874E1B415F}" srcOrd="0" destOrd="0" presId="urn:microsoft.com/office/officeart/2005/8/layout/radial4"/>
    <dgm:cxn modelId="{BCB54320-6F0C-49E6-97ED-1E5D56547C28}" type="presOf" srcId="{7678296D-E3B3-4528-82B3-1E05088835BB}" destId="{7C4B7163-031C-4826-BAC5-5209B0EB1C0A}" srcOrd="0" destOrd="0" presId="urn:microsoft.com/office/officeart/2005/8/layout/radial4"/>
    <dgm:cxn modelId="{A93C4A6B-68FD-426E-92A2-22F28743C2A6}" type="presOf" srcId="{2F25C81B-D472-4C8A-9AB1-3312B918B9B2}" destId="{D10403AD-4C7D-44C7-B2D9-29477737763D}" srcOrd="0" destOrd="0" presId="urn:microsoft.com/office/officeart/2005/8/layout/radial4"/>
    <dgm:cxn modelId="{8EAA4E25-FBDE-4BE2-8D76-AFAD369BCFE3}" srcId="{16E9C66A-4C19-4CD5-BB8C-237288DDAE9A}" destId="{09F5A857-C49F-4D21-A226-FCFBCB014794}" srcOrd="5" destOrd="0" parTransId="{40E205E3-D4AE-414D-9198-3956656C133B}" sibTransId="{812C87EA-7798-468E-A8FE-87442E4410C6}"/>
    <dgm:cxn modelId="{116877FD-8CE0-4FFF-819B-64823B57894D}" type="presParOf" srcId="{D10403AD-4C7D-44C7-B2D9-29477737763D}" destId="{FD2BC561-A153-48D4-97B3-92BCE7F2F8E6}" srcOrd="0" destOrd="0" presId="urn:microsoft.com/office/officeart/2005/8/layout/radial4"/>
    <dgm:cxn modelId="{7CC40B5A-5F7B-4B90-BB90-55DE8D26E6A8}" type="presParOf" srcId="{D10403AD-4C7D-44C7-B2D9-29477737763D}" destId="{3E0FBCCC-42FA-4D4F-84C7-A96CAE5F7D8C}" srcOrd="1" destOrd="0" presId="urn:microsoft.com/office/officeart/2005/8/layout/radial4"/>
    <dgm:cxn modelId="{D2E3E047-9907-4DDB-916C-D253A0041486}" type="presParOf" srcId="{D10403AD-4C7D-44C7-B2D9-29477737763D}" destId="{19F39140-6220-423E-B01B-8C305C3FCBEC}" srcOrd="2" destOrd="0" presId="urn:microsoft.com/office/officeart/2005/8/layout/radial4"/>
    <dgm:cxn modelId="{2CF63213-A3E7-4927-B9BD-9F348927327B}" type="presParOf" srcId="{D10403AD-4C7D-44C7-B2D9-29477737763D}" destId="{7C4B7163-031C-4826-BAC5-5209B0EB1C0A}" srcOrd="3" destOrd="0" presId="urn:microsoft.com/office/officeart/2005/8/layout/radial4"/>
    <dgm:cxn modelId="{72DC910D-7C87-43E8-B631-A8D3039BAA96}" type="presParOf" srcId="{D10403AD-4C7D-44C7-B2D9-29477737763D}" destId="{5F5902BF-4589-4813-9AD0-970A5DEE5D96}" srcOrd="4" destOrd="0" presId="urn:microsoft.com/office/officeart/2005/8/layout/radial4"/>
    <dgm:cxn modelId="{C55CFEDC-F5EA-46B1-95C6-7863CE38620E}" type="presParOf" srcId="{D10403AD-4C7D-44C7-B2D9-29477737763D}" destId="{C96A18A6-9DC3-4D05-8E24-124924184E23}" srcOrd="5" destOrd="0" presId="urn:microsoft.com/office/officeart/2005/8/layout/radial4"/>
    <dgm:cxn modelId="{3AF9C5D4-B751-4397-962F-43E8E0310599}" type="presParOf" srcId="{D10403AD-4C7D-44C7-B2D9-29477737763D}" destId="{7F71E8D6-3917-407A-9B3E-FD874E1B415F}" srcOrd="6" destOrd="0" presId="urn:microsoft.com/office/officeart/2005/8/layout/radial4"/>
    <dgm:cxn modelId="{89A181E3-8DDF-4947-B5FA-DEAA81DAF5B8}" type="presParOf" srcId="{D10403AD-4C7D-44C7-B2D9-29477737763D}" destId="{044B1786-6127-42A9-8D3A-B3177E791650}" srcOrd="7" destOrd="0" presId="urn:microsoft.com/office/officeart/2005/8/layout/radial4"/>
    <dgm:cxn modelId="{13ED6027-C724-4BAA-8D8F-4B45A0B16D15}" type="presParOf" srcId="{D10403AD-4C7D-44C7-B2D9-29477737763D}" destId="{30D3E1E4-F56D-4712-8B64-0C32A30B28CC}" srcOrd="8" destOrd="0" presId="urn:microsoft.com/office/officeart/2005/8/layout/radial4"/>
    <dgm:cxn modelId="{5C6368A8-61F4-4756-9A15-A3B2FF75ABBF}" type="presParOf" srcId="{D10403AD-4C7D-44C7-B2D9-29477737763D}" destId="{E401F642-0908-42B0-A109-039BC8F9F24F}" srcOrd="9" destOrd="0" presId="urn:microsoft.com/office/officeart/2005/8/layout/radial4"/>
    <dgm:cxn modelId="{7040804E-9664-47A6-9D4C-F31B930A4938}" type="presParOf" srcId="{D10403AD-4C7D-44C7-B2D9-29477737763D}" destId="{8BDB6DD5-5CAB-4205-9712-585A0C677592}" srcOrd="10" destOrd="0" presId="urn:microsoft.com/office/officeart/2005/8/layout/radial4"/>
    <dgm:cxn modelId="{279639BF-AFCC-4440-A4F4-F999AAE290F7}" type="presParOf" srcId="{D10403AD-4C7D-44C7-B2D9-29477737763D}" destId="{0372E937-417F-4E2C-8999-FD50B0177663}" srcOrd="11" destOrd="0" presId="urn:microsoft.com/office/officeart/2005/8/layout/radial4"/>
    <dgm:cxn modelId="{D58F40EA-721E-425F-B623-CE1A755E1B23}" type="presParOf" srcId="{D10403AD-4C7D-44C7-B2D9-29477737763D}" destId="{7FBDAA4C-779F-4A0F-AA12-4F712ECA9CA5}" srcOrd="12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D2BC561-A153-48D4-97B3-92BCE7F2F8E6}">
      <dsp:nvSpPr>
        <dsp:cNvPr id="0" name=""/>
        <dsp:cNvSpPr/>
      </dsp:nvSpPr>
      <dsp:spPr>
        <a:xfrm>
          <a:off x="3103932" y="3169636"/>
          <a:ext cx="2271557" cy="2271557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8415" tIns="18415" rIns="18415" bIns="1841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2900" kern="1200"/>
            <a:t>CONSEJOS PARA LA PRACTICA</a:t>
          </a:r>
        </a:p>
      </dsp:txBody>
      <dsp:txXfrm>
        <a:off x="3103932" y="3169636"/>
        <a:ext cx="2271557" cy="2271557"/>
      </dsp:txXfrm>
    </dsp:sp>
    <dsp:sp modelId="{3E0FBCCC-42FA-4D4F-84C7-A96CAE5F7D8C}">
      <dsp:nvSpPr>
        <dsp:cNvPr id="0" name=""/>
        <dsp:cNvSpPr/>
      </dsp:nvSpPr>
      <dsp:spPr>
        <a:xfrm rot="10800000">
          <a:off x="795901" y="3981718"/>
          <a:ext cx="2181088" cy="647394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39140-6220-423E-B01B-8C305C3FCBEC}">
      <dsp:nvSpPr>
        <dsp:cNvPr id="0" name=""/>
        <dsp:cNvSpPr/>
      </dsp:nvSpPr>
      <dsp:spPr>
        <a:xfrm>
          <a:off x="856" y="3669379"/>
          <a:ext cx="1590090" cy="1272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500" kern="1200"/>
            <a:t>Estatuto de Auditoria Interna</a:t>
          </a:r>
        </a:p>
      </dsp:txBody>
      <dsp:txXfrm>
        <a:off x="856" y="3669379"/>
        <a:ext cx="1590090" cy="1272072"/>
      </dsp:txXfrm>
    </dsp:sp>
    <dsp:sp modelId="{7C4B7163-031C-4826-BAC5-5209B0EB1C0A}">
      <dsp:nvSpPr>
        <dsp:cNvPr id="0" name=""/>
        <dsp:cNvSpPr/>
      </dsp:nvSpPr>
      <dsp:spPr>
        <a:xfrm rot="12960000">
          <a:off x="1245335" y="2598503"/>
          <a:ext cx="2181088" cy="647394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2250053"/>
                <a:satOff val="-3376"/>
                <a:lumOff val="-549"/>
                <a:alphaOff val="0"/>
                <a:shade val="51000"/>
                <a:satMod val="130000"/>
              </a:schemeClr>
            </a:gs>
            <a:gs pos="80000">
              <a:schemeClr val="accent3">
                <a:hueOff val="2250053"/>
                <a:satOff val="-3376"/>
                <a:lumOff val="-549"/>
                <a:alphaOff val="0"/>
                <a:shade val="93000"/>
                <a:satMod val="130000"/>
              </a:schemeClr>
            </a:gs>
            <a:gs pos="100000">
              <a:schemeClr val="accent3">
                <a:hueOff val="2250053"/>
                <a:satOff val="-3376"/>
                <a:lumOff val="-54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F5902BF-4589-4813-9AD0-970A5DEE5D96}">
      <dsp:nvSpPr>
        <dsp:cNvPr id="0" name=""/>
        <dsp:cNvSpPr/>
      </dsp:nvSpPr>
      <dsp:spPr>
        <a:xfrm>
          <a:off x="658565" y="1645158"/>
          <a:ext cx="1590090" cy="1272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2250053"/>
                <a:satOff val="-3376"/>
                <a:lumOff val="-549"/>
                <a:alphaOff val="0"/>
                <a:shade val="51000"/>
                <a:satMod val="130000"/>
              </a:schemeClr>
            </a:gs>
            <a:gs pos="80000">
              <a:schemeClr val="accent3">
                <a:hueOff val="2250053"/>
                <a:satOff val="-3376"/>
                <a:lumOff val="-549"/>
                <a:alphaOff val="0"/>
                <a:shade val="93000"/>
                <a:satMod val="130000"/>
              </a:schemeClr>
            </a:gs>
            <a:gs pos="100000">
              <a:schemeClr val="accent3">
                <a:hueOff val="2250053"/>
                <a:satOff val="-3376"/>
                <a:lumOff val="-549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500" kern="1200"/>
            <a:t>Independencia dentro de la organizacion</a:t>
          </a:r>
        </a:p>
      </dsp:txBody>
      <dsp:txXfrm>
        <a:off x="658565" y="1645158"/>
        <a:ext cx="1590090" cy="1272072"/>
      </dsp:txXfrm>
    </dsp:sp>
    <dsp:sp modelId="{C96A18A6-9DC3-4D05-8E24-124924184E23}">
      <dsp:nvSpPr>
        <dsp:cNvPr id="0" name=""/>
        <dsp:cNvSpPr/>
      </dsp:nvSpPr>
      <dsp:spPr>
        <a:xfrm rot="15120000">
          <a:off x="2421968" y="1743630"/>
          <a:ext cx="2181088" cy="647394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4500106"/>
                <a:satOff val="-6752"/>
                <a:lumOff val="-1098"/>
                <a:alphaOff val="0"/>
                <a:shade val="51000"/>
                <a:satMod val="130000"/>
              </a:schemeClr>
            </a:gs>
            <a:gs pos="80000">
              <a:schemeClr val="accent3">
                <a:hueOff val="4500106"/>
                <a:satOff val="-6752"/>
                <a:lumOff val="-1098"/>
                <a:alphaOff val="0"/>
                <a:shade val="93000"/>
                <a:satMod val="130000"/>
              </a:schemeClr>
            </a:gs>
            <a:gs pos="100000">
              <a:schemeClr val="accent3">
                <a:hueOff val="4500106"/>
                <a:satOff val="-6752"/>
                <a:lumOff val="-109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F71E8D6-3917-407A-9B3E-FD874E1B415F}">
      <dsp:nvSpPr>
        <dsp:cNvPr id="0" name=""/>
        <dsp:cNvSpPr/>
      </dsp:nvSpPr>
      <dsp:spPr>
        <a:xfrm>
          <a:off x="2380470" y="394121"/>
          <a:ext cx="1590090" cy="1272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4500106"/>
                <a:satOff val="-6752"/>
                <a:lumOff val="-1098"/>
                <a:alphaOff val="0"/>
                <a:shade val="51000"/>
                <a:satMod val="130000"/>
              </a:schemeClr>
            </a:gs>
            <a:gs pos="80000">
              <a:schemeClr val="accent3">
                <a:hueOff val="4500106"/>
                <a:satOff val="-6752"/>
                <a:lumOff val="-1098"/>
                <a:alphaOff val="0"/>
                <a:shade val="93000"/>
                <a:satMod val="130000"/>
              </a:schemeClr>
            </a:gs>
            <a:gs pos="100000">
              <a:schemeClr val="accent3">
                <a:hueOff val="4500106"/>
                <a:satOff val="-6752"/>
                <a:lumOff val="-1098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500" kern="1200"/>
            <a:t>Aptitud y Cuidado Profesional</a:t>
          </a:r>
        </a:p>
      </dsp:txBody>
      <dsp:txXfrm>
        <a:off x="2380470" y="394121"/>
        <a:ext cx="1590090" cy="1272072"/>
      </dsp:txXfrm>
    </dsp:sp>
    <dsp:sp modelId="{044B1786-6127-42A9-8D3A-B3177E791650}">
      <dsp:nvSpPr>
        <dsp:cNvPr id="0" name=""/>
        <dsp:cNvSpPr/>
      </dsp:nvSpPr>
      <dsp:spPr>
        <a:xfrm rot="17280000">
          <a:off x="3876365" y="1743630"/>
          <a:ext cx="2181088" cy="647394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6750158"/>
                <a:satOff val="-10128"/>
                <a:lumOff val="-1647"/>
                <a:alphaOff val="0"/>
                <a:shade val="51000"/>
                <a:satMod val="130000"/>
              </a:schemeClr>
            </a:gs>
            <a:gs pos="80000">
              <a:schemeClr val="accent3">
                <a:hueOff val="6750158"/>
                <a:satOff val="-10128"/>
                <a:lumOff val="-1647"/>
                <a:alphaOff val="0"/>
                <a:shade val="93000"/>
                <a:satMod val="130000"/>
              </a:schemeClr>
            </a:gs>
            <a:gs pos="100000">
              <a:schemeClr val="accent3">
                <a:hueOff val="6750158"/>
                <a:satOff val="-10128"/>
                <a:lumOff val="-164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0D3E1E4-F56D-4712-8B64-0C32A30B28CC}">
      <dsp:nvSpPr>
        <dsp:cNvPr id="0" name=""/>
        <dsp:cNvSpPr/>
      </dsp:nvSpPr>
      <dsp:spPr>
        <a:xfrm>
          <a:off x="4508861" y="394121"/>
          <a:ext cx="1590090" cy="1272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6750158"/>
                <a:satOff val="-10128"/>
                <a:lumOff val="-1647"/>
                <a:alphaOff val="0"/>
                <a:shade val="51000"/>
                <a:satMod val="130000"/>
              </a:schemeClr>
            </a:gs>
            <a:gs pos="80000">
              <a:schemeClr val="accent3">
                <a:hueOff val="6750158"/>
                <a:satOff val="-10128"/>
                <a:lumOff val="-1647"/>
                <a:alphaOff val="0"/>
                <a:shade val="93000"/>
                <a:satMod val="130000"/>
              </a:schemeClr>
            </a:gs>
            <a:gs pos="100000">
              <a:schemeClr val="accent3">
                <a:hueOff val="6750158"/>
                <a:satOff val="-10128"/>
                <a:lumOff val="-1647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500" kern="1200"/>
            <a:t>Programa de aseguramiento y Mejora de Calidad</a:t>
          </a:r>
        </a:p>
      </dsp:txBody>
      <dsp:txXfrm>
        <a:off x="4508861" y="394121"/>
        <a:ext cx="1590090" cy="1272072"/>
      </dsp:txXfrm>
    </dsp:sp>
    <dsp:sp modelId="{E401F642-0908-42B0-A109-039BC8F9F24F}">
      <dsp:nvSpPr>
        <dsp:cNvPr id="0" name=""/>
        <dsp:cNvSpPr/>
      </dsp:nvSpPr>
      <dsp:spPr>
        <a:xfrm rot="19440000">
          <a:off x="5052998" y="2598503"/>
          <a:ext cx="2181088" cy="647394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9000211"/>
                <a:satOff val="-13504"/>
                <a:lumOff val="-2196"/>
                <a:alphaOff val="0"/>
                <a:shade val="51000"/>
                <a:satMod val="130000"/>
              </a:schemeClr>
            </a:gs>
            <a:gs pos="80000">
              <a:schemeClr val="accent3">
                <a:hueOff val="9000211"/>
                <a:satOff val="-13504"/>
                <a:lumOff val="-2196"/>
                <a:alphaOff val="0"/>
                <a:shade val="93000"/>
                <a:satMod val="130000"/>
              </a:schemeClr>
            </a:gs>
            <a:gs pos="100000">
              <a:schemeClr val="accent3">
                <a:hueOff val="9000211"/>
                <a:satOff val="-13504"/>
                <a:lumOff val="-219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BDB6DD5-5CAB-4205-9712-585A0C677592}">
      <dsp:nvSpPr>
        <dsp:cNvPr id="0" name=""/>
        <dsp:cNvSpPr/>
      </dsp:nvSpPr>
      <dsp:spPr>
        <a:xfrm>
          <a:off x="6230766" y="1645158"/>
          <a:ext cx="1590090" cy="1272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9000211"/>
                <a:satOff val="-13504"/>
                <a:lumOff val="-2196"/>
                <a:alphaOff val="0"/>
                <a:shade val="51000"/>
                <a:satMod val="130000"/>
              </a:schemeClr>
            </a:gs>
            <a:gs pos="80000">
              <a:schemeClr val="accent3">
                <a:hueOff val="9000211"/>
                <a:satOff val="-13504"/>
                <a:lumOff val="-2196"/>
                <a:alphaOff val="0"/>
                <a:shade val="93000"/>
                <a:satMod val="130000"/>
              </a:schemeClr>
            </a:gs>
            <a:gs pos="100000">
              <a:schemeClr val="accent3">
                <a:hueOff val="9000211"/>
                <a:satOff val="-13504"/>
                <a:lumOff val="-2196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500" kern="1200"/>
            <a:t>Utilizacion de "Cumple con las Normas Internacionales de Auditoria Interna"</a:t>
          </a:r>
        </a:p>
      </dsp:txBody>
      <dsp:txXfrm>
        <a:off x="6230766" y="1645158"/>
        <a:ext cx="1590090" cy="1272072"/>
      </dsp:txXfrm>
    </dsp:sp>
    <dsp:sp modelId="{0372E937-417F-4E2C-8999-FD50B0177663}">
      <dsp:nvSpPr>
        <dsp:cNvPr id="0" name=""/>
        <dsp:cNvSpPr/>
      </dsp:nvSpPr>
      <dsp:spPr>
        <a:xfrm>
          <a:off x="5502432" y="3981718"/>
          <a:ext cx="2181088" cy="647394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z="-190500" prstMaterial="plastic">
          <a:bevelT w="50800" h="50800"/>
          <a:bevelB w="25400" h="2540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FBDAA4C-779F-4A0F-AA12-4F712ECA9CA5}">
      <dsp:nvSpPr>
        <dsp:cNvPr id="0" name=""/>
        <dsp:cNvSpPr/>
      </dsp:nvSpPr>
      <dsp:spPr>
        <a:xfrm>
          <a:off x="6888475" y="3669379"/>
          <a:ext cx="1590090" cy="12720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11250264"/>
                <a:satOff val="-16880"/>
                <a:lumOff val="-2745"/>
                <a:alphaOff val="0"/>
                <a:shade val="51000"/>
                <a:satMod val="130000"/>
              </a:schemeClr>
            </a:gs>
            <a:gs pos="80000">
              <a:schemeClr val="accent3">
                <a:hueOff val="11250264"/>
                <a:satOff val="-16880"/>
                <a:lumOff val="-2745"/>
                <a:alphaOff val="0"/>
                <a:shade val="93000"/>
                <a:satMod val="130000"/>
              </a:schemeClr>
            </a:gs>
            <a:gs pos="100000">
              <a:schemeClr val="accent3">
                <a:hueOff val="11250264"/>
                <a:satOff val="-16880"/>
                <a:lumOff val="-2745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8575" tIns="28575" rIns="28575" bIns="2857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500" kern="1200"/>
            <a:t>Enlace del plan de audiroria con los riesgos y exposiciones</a:t>
          </a:r>
        </a:p>
      </dsp:txBody>
      <dsp:txXfrm>
        <a:off x="6888475" y="3669379"/>
        <a:ext cx="1590090" cy="12720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E3914-D582-4F58-AC1D-80363AC01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681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1</cp:revision>
  <dcterms:created xsi:type="dcterms:W3CDTF">2013-09-06T04:08:00Z</dcterms:created>
  <dcterms:modified xsi:type="dcterms:W3CDTF">2013-09-06T05:11:00Z</dcterms:modified>
</cp:coreProperties>
</file>