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7F46" w:rsidRPr="005754C2" w:rsidRDefault="004F7F46" w:rsidP="004F7F46">
      <w:pPr>
        <w:jc w:val="center"/>
        <w:rPr>
          <w:rFonts w:ascii="Times New Roman" w:hAnsi="Times New Roman" w:cs="Times New Roman"/>
          <w:b/>
          <w:sz w:val="24"/>
          <w:szCs w:val="24"/>
        </w:rPr>
      </w:pPr>
      <w:r w:rsidRPr="005754C2">
        <w:rPr>
          <w:rFonts w:ascii="Times New Roman" w:hAnsi="Times New Roman" w:cs="Times New Roman"/>
          <w:b/>
          <w:sz w:val="24"/>
          <w:szCs w:val="24"/>
        </w:rPr>
        <w:t xml:space="preserve">Control de Lectura </w:t>
      </w:r>
      <w:r>
        <w:rPr>
          <w:rFonts w:ascii="Times New Roman" w:hAnsi="Times New Roman" w:cs="Times New Roman"/>
          <w:b/>
          <w:sz w:val="24"/>
          <w:szCs w:val="24"/>
        </w:rPr>
        <w:t>6 – Precios de Transferencia</w:t>
      </w:r>
    </w:p>
    <w:p w:rsidR="004F7F46" w:rsidRPr="005754C2" w:rsidRDefault="004F7F46" w:rsidP="004F7F46">
      <w:pPr>
        <w:jc w:val="center"/>
        <w:rPr>
          <w:rFonts w:ascii="Times New Roman" w:hAnsi="Times New Roman" w:cs="Times New Roman"/>
          <w:b/>
          <w:sz w:val="24"/>
          <w:szCs w:val="24"/>
        </w:rPr>
      </w:pPr>
      <w:r w:rsidRPr="005754C2">
        <w:rPr>
          <w:rFonts w:ascii="Times New Roman" w:hAnsi="Times New Roman" w:cs="Times New Roman"/>
          <w:b/>
          <w:sz w:val="24"/>
          <w:szCs w:val="24"/>
        </w:rPr>
        <w:t>Materia: Seminario de Auditoria   Catedrático: Lic. Javier Miranda</w:t>
      </w:r>
    </w:p>
    <w:p w:rsidR="004F7F46" w:rsidRDefault="004F7F46" w:rsidP="004F7F46">
      <w:pPr>
        <w:jc w:val="center"/>
        <w:rPr>
          <w:rFonts w:ascii="Times New Roman" w:hAnsi="Times New Roman" w:cs="Times New Roman"/>
          <w:b/>
          <w:sz w:val="24"/>
          <w:szCs w:val="24"/>
        </w:rPr>
      </w:pPr>
      <w:r w:rsidRPr="005754C2">
        <w:rPr>
          <w:rFonts w:ascii="Times New Roman" w:hAnsi="Times New Roman" w:cs="Times New Roman"/>
          <w:b/>
          <w:sz w:val="24"/>
          <w:szCs w:val="24"/>
        </w:rPr>
        <w:t>Alumna: Adriana Guadalupe Martínez Ayala MA09008   Usuario: Amartinezgt04</w:t>
      </w:r>
    </w:p>
    <w:p w:rsidR="008037E7" w:rsidRDefault="008037E7" w:rsidP="00527B29">
      <w:pPr>
        <w:jc w:val="both"/>
        <w:rPr>
          <w:rFonts w:ascii="Times New Roman" w:hAnsi="Times New Roman" w:cs="Times New Roman"/>
          <w:color w:val="333333"/>
          <w:sz w:val="24"/>
          <w:szCs w:val="24"/>
          <w:shd w:val="clear" w:color="auto" w:fill="FFFFFF"/>
        </w:rPr>
      </w:pPr>
    </w:p>
    <w:p w:rsidR="004F7F46" w:rsidRPr="00527B29" w:rsidRDefault="004F7F46" w:rsidP="00527B29">
      <w:pPr>
        <w:jc w:val="both"/>
        <w:rPr>
          <w:rFonts w:ascii="Times New Roman" w:hAnsi="Times New Roman" w:cs="Times New Roman"/>
          <w:color w:val="333333"/>
          <w:sz w:val="24"/>
          <w:szCs w:val="24"/>
          <w:shd w:val="clear" w:color="auto" w:fill="FFFFFF"/>
        </w:rPr>
      </w:pPr>
      <w:r w:rsidRPr="00527B29">
        <w:rPr>
          <w:rFonts w:ascii="Times New Roman" w:hAnsi="Times New Roman" w:cs="Times New Roman"/>
          <w:color w:val="333333"/>
          <w:sz w:val="24"/>
          <w:szCs w:val="24"/>
          <w:shd w:val="clear" w:color="auto" w:fill="FFFFFF"/>
        </w:rPr>
        <w:t>El comercio nacional e internacional se basa en la transferencia de bienes y servicios. Es un hecho que la globalización y el incremento de grupos nacionales y compañías con operaciones en diversos países son parte del actual entorno económico.</w:t>
      </w:r>
    </w:p>
    <w:p w:rsidR="004F7F46" w:rsidRPr="00527B29" w:rsidRDefault="004F7F46" w:rsidP="00527B29">
      <w:pPr>
        <w:pStyle w:val="Default"/>
        <w:jc w:val="both"/>
        <w:rPr>
          <w:rFonts w:ascii="Times New Roman" w:hAnsi="Times New Roman" w:cs="Times New Roman"/>
        </w:rPr>
      </w:pPr>
    </w:p>
    <w:p w:rsidR="003B2232" w:rsidRDefault="004F7F46" w:rsidP="00527B29">
      <w:pPr>
        <w:jc w:val="both"/>
        <w:rPr>
          <w:rFonts w:ascii="Times New Roman" w:hAnsi="Times New Roman" w:cs="Times New Roman"/>
          <w:sz w:val="24"/>
          <w:szCs w:val="24"/>
        </w:rPr>
      </w:pPr>
      <w:r w:rsidRPr="00527B29">
        <w:rPr>
          <w:rFonts w:ascii="Times New Roman" w:hAnsi="Times New Roman" w:cs="Times New Roman"/>
          <w:sz w:val="24"/>
          <w:szCs w:val="24"/>
        </w:rPr>
        <w:t xml:space="preserve"> El artículo 62-A del Código Tributario establece la obligación de los contribuyentes que celebren operaciones o transacciones con sujetos relacionados de,</w:t>
      </w:r>
      <w:r w:rsidR="00527B29" w:rsidRPr="00527B29">
        <w:rPr>
          <w:rFonts w:ascii="Times New Roman" w:hAnsi="Times New Roman" w:cs="Times New Roman"/>
          <w:sz w:val="24"/>
          <w:szCs w:val="24"/>
        </w:rPr>
        <w:t xml:space="preserve"> </w:t>
      </w:r>
      <w:r w:rsidRPr="00527B29">
        <w:rPr>
          <w:rFonts w:ascii="Times New Roman" w:hAnsi="Times New Roman" w:cs="Times New Roman"/>
          <w:sz w:val="24"/>
          <w:szCs w:val="24"/>
        </w:rPr>
        <w:t xml:space="preserve">determinar los precios y montos de las contraprestaciones, considerando los precios de mercado utilizados para bienes o servicios de la misma especie entre sujetos independientes. </w:t>
      </w:r>
    </w:p>
    <w:p w:rsidR="00393DAA" w:rsidRDefault="00393DAA" w:rsidP="00393DAA">
      <w:pPr>
        <w:jc w:val="both"/>
        <w:rPr>
          <w:rFonts w:ascii="Times New Roman" w:hAnsi="Times New Roman" w:cs="Times New Roman"/>
          <w:sz w:val="24"/>
          <w:szCs w:val="24"/>
        </w:rPr>
      </w:pPr>
      <w:r>
        <w:rPr>
          <w:rFonts w:ascii="Times New Roman" w:hAnsi="Times New Roman" w:cs="Times New Roman"/>
          <w:sz w:val="24"/>
          <w:szCs w:val="24"/>
        </w:rPr>
        <w:tab/>
      </w:r>
      <w:r w:rsidR="004F7F46" w:rsidRPr="00527B29">
        <w:rPr>
          <w:rFonts w:ascii="Times New Roman" w:hAnsi="Times New Roman" w:cs="Times New Roman"/>
          <w:sz w:val="24"/>
          <w:szCs w:val="24"/>
        </w:rPr>
        <w:t>De la misma forma debe procederse si las operaciones o transacciones se celebran con sujetos domiciliados, constituidos o ubicados en países, estados o territorios con regímenes fiscales preferentes, de baja o nula tributación o paraísos fiscales; siendo éstos los que no gravan la utilidad neta imponible, los que la gravan con una tasa inferior a un 80% de la tasa salvadoreña, y los</w:t>
      </w:r>
      <w:r w:rsidR="00527B29" w:rsidRPr="00527B29">
        <w:rPr>
          <w:rFonts w:ascii="Times New Roman" w:hAnsi="Times New Roman" w:cs="Times New Roman"/>
          <w:sz w:val="24"/>
          <w:szCs w:val="24"/>
        </w:rPr>
        <w:t xml:space="preserve"> </w:t>
      </w:r>
      <w:r w:rsidR="004F7F46" w:rsidRPr="00527B29">
        <w:rPr>
          <w:rFonts w:ascii="Times New Roman" w:hAnsi="Times New Roman" w:cs="Times New Roman"/>
          <w:sz w:val="24"/>
          <w:szCs w:val="24"/>
        </w:rPr>
        <w:t>que clasifique la Organización para</w:t>
      </w:r>
      <w:r w:rsidR="00527B29" w:rsidRPr="00527B29">
        <w:rPr>
          <w:rFonts w:ascii="Times New Roman" w:hAnsi="Times New Roman" w:cs="Times New Roman"/>
          <w:sz w:val="24"/>
          <w:szCs w:val="24"/>
        </w:rPr>
        <w:t xml:space="preserve"> </w:t>
      </w:r>
      <w:r w:rsidR="004F7F46" w:rsidRPr="00527B29">
        <w:rPr>
          <w:rFonts w:ascii="Times New Roman" w:hAnsi="Times New Roman" w:cs="Times New Roman"/>
          <w:sz w:val="24"/>
          <w:szCs w:val="24"/>
        </w:rPr>
        <w:t>la Cooperación y el Desarrollo Económico (OCDE) y el Grupo de Acción Financiera Internacional (GAFI). Como se puede observar, este artículo no hace referencia a operaciones o transacciones de compra o venta de bienes o servicios, por lo que debe entenderse que se trata de actividades que generan ingresos o costos y gastos.</w:t>
      </w:r>
      <w:r>
        <w:rPr>
          <w:rFonts w:ascii="Times New Roman" w:hAnsi="Times New Roman" w:cs="Times New Roman"/>
          <w:sz w:val="24"/>
          <w:szCs w:val="24"/>
        </w:rPr>
        <w:t xml:space="preserve"> </w:t>
      </w:r>
      <w:r w:rsidR="004F7F46" w:rsidRPr="00527B29">
        <w:rPr>
          <w:rFonts w:ascii="Times New Roman" w:hAnsi="Times New Roman" w:cs="Times New Roman"/>
          <w:sz w:val="24"/>
          <w:szCs w:val="24"/>
        </w:rPr>
        <w:t xml:space="preserve">Al utilizar el legislador el término </w:t>
      </w:r>
      <w:r w:rsidR="004F7F46" w:rsidRPr="00393DAA">
        <w:rPr>
          <w:rFonts w:ascii="Times New Roman" w:hAnsi="Times New Roman" w:cs="Times New Roman"/>
          <w:sz w:val="24"/>
          <w:szCs w:val="24"/>
        </w:rPr>
        <w:t>determinar</w:t>
      </w:r>
      <w:r w:rsidR="004F7F46" w:rsidRPr="00527B29">
        <w:rPr>
          <w:rFonts w:ascii="Times New Roman" w:hAnsi="Times New Roman" w:cs="Times New Roman"/>
          <w:sz w:val="24"/>
          <w:szCs w:val="24"/>
        </w:rPr>
        <w:t xml:space="preserve">, debe entenderse que el contribuyente debe poder demostrar documentalmente que ha realizado el análisis de </w:t>
      </w:r>
      <w:bookmarkStart w:id="0" w:name="_GoBack"/>
      <w:bookmarkEnd w:id="0"/>
      <w:r w:rsidR="004F7F46" w:rsidRPr="00527B29">
        <w:rPr>
          <w:rFonts w:ascii="Times New Roman" w:hAnsi="Times New Roman" w:cs="Times New Roman"/>
          <w:sz w:val="24"/>
          <w:szCs w:val="24"/>
        </w:rPr>
        <w:t>precios respectivo, de manera que el Fisco pueda comprobar que se ha seguido un procedimiento para concluir si los precios utilizados</w:t>
      </w:r>
      <w:r w:rsidR="00527B29" w:rsidRPr="00527B29">
        <w:rPr>
          <w:rFonts w:ascii="Times New Roman" w:hAnsi="Times New Roman" w:cs="Times New Roman"/>
          <w:sz w:val="24"/>
          <w:szCs w:val="24"/>
        </w:rPr>
        <w:t xml:space="preserve"> </w:t>
      </w:r>
      <w:r w:rsidR="004F7F46" w:rsidRPr="00527B29">
        <w:rPr>
          <w:rFonts w:ascii="Times New Roman" w:hAnsi="Times New Roman" w:cs="Times New Roman"/>
          <w:sz w:val="24"/>
          <w:szCs w:val="24"/>
        </w:rPr>
        <w:t>por el contribuyente corresponden</w:t>
      </w:r>
      <w:r w:rsidR="00527B29" w:rsidRPr="00527B29">
        <w:rPr>
          <w:rFonts w:ascii="Times New Roman" w:hAnsi="Times New Roman" w:cs="Times New Roman"/>
          <w:sz w:val="24"/>
          <w:szCs w:val="24"/>
        </w:rPr>
        <w:t xml:space="preserve"> </w:t>
      </w:r>
      <w:r w:rsidR="004F7F46" w:rsidRPr="00527B29">
        <w:rPr>
          <w:rFonts w:ascii="Times New Roman" w:hAnsi="Times New Roman" w:cs="Times New Roman"/>
          <w:sz w:val="24"/>
          <w:szCs w:val="24"/>
        </w:rPr>
        <w:t>a los utilizados por su competencia para artículos o servicios de la misma naturaleza, en circunstancias similares.</w:t>
      </w:r>
      <w:r w:rsidR="00527B29" w:rsidRPr="00527B29">
        <w:rPr>
          <w:rFonts w:ascii="Times New Roman" w:hAnsi="Times New Roman" w:cs="Times New Roman"/>
          <w:sz w:val="24"/>
          <w:szCs w:val="24"/>
        </w:rPr>
        <w:t xml:space="preserve"> </w:t>
      </w:r>
    </w:p>
    <w:p w:rsidR="00393DAA" w:rsidRDefault="004F7F46" w:rsidP="00393DAA">
      <w:pPr>
        <w:jc w:val="both"/>
        <w:rPr>
          <w:rFonts w:ascii="Times New Roman" w:hAnsi="Times New Roman" w:cs="Times New Roman"/>
          <w:sz w:val="24"/>
          <w:szCs w:val="24"/>
        </w:rPr>
      </w:pPr>
      <w:r w:rsidRPr="00527B29">
        <w:rPr>
          <w:rFonts w:ascii="Times New Roman" w:hAnsi="Times New Roman" w:cs="Times New Roman"/>
          <w:sz w:val="24"/>
          <w:szCs w:val="24"/>
        </w:rPr>
        <w:t>El artículo 124-A del mismo Código establece que los contribuyentes que celebren operaciones con sujetos domiciliados, constituidos o ubicados en países, estados o territorios con regímenes fiscales preferentes, de baja o nula tributación o paraísos fiscales, deben presentar un informe de las operaciones realizadas, si éstas, ya sea en forma individual o en conjunto, son iguales o superiores a $571,429.00. El informe</w:t>
      </w:r>
      <w:r w:rsidR="00527B29" w:rsidRPr="00527B29">
        <w:rPr>
          <w:rFonts w:ascii="Times New Roman" w:hAnsi="Times New Roman" w:cs="Times New Roman"/>
          <w:sz w:val="24"/>
          <w:szCs w:val="24"/>
        </w:rPr>
        <w:t xml:space="preserve"> </w:t>
      </w:r>
      <w:r w:rsidRPr="00527B29">
        <w:rPr>
          <w:rFonts w:ascii="Times New Roman" w:hAnsi="Times New Roman" w:cs="Times New Roman"/>
          <w:sz w:val="24"/>
          <w:szCs w:val="24"/>
        </w:rPr>
        <w:t>debe ser presentado en el formulario que al efecto deberá proporcionar la Administración Tributaria, y debe ser entregado por el contribuyente a más tardar el 31 de marzo del año subsiguiente al que se refiere el informe.</w:t>
      </w:r>
    </w:p>
    <w:p w:rsidR="00393DAA" w:rsidRDefault="004F7F46" w:rsidP="00393DAA">
      <w:pPr>
        <w:jc w:val="both"/>
        <w:rPr>
          <w:rFonts w:ascii="Times New Roman" w:hAnsi="Times New Roman" w:cs="Times New Roman"/>
          <w:sz w:val="24"/>
          <w:szCs w:val="24"/>
        </w:rPr>
      </w:pPr>
      <w:r w:rsidRPr="00527B29">
        <w:rPr>
          <w:rFonts w:ascii="Times New Roman" w:hAnsi="Times New Roman" w:cs="Times New Roman"/>
          <w:sz w:val="24"/>
          <w:szCs w:val="24"/>
        </w:rPr>
        <w:t xml:space="preserve">El artículo 199-A </w:t>
      </w:r>
      <w:r w:rsidR="00393DAA" w:rsidRPr="00527B29">
        <w:rPr>
          <w:rFonts w:ascii="Times New Roman" w:hAnsi="Times New Roman" w:cs="Times New Roman"/>
          <w:sz w:val="24"/>
          <w:szCs w:val="24"/>
        </w:rPr>
        <w:t xml:space="preserve">del Código Tributario </w:t>
      </w:r>
      <w:r w:rsidRPr="00527B29">
        <w:rPr>
          <w:rFonts w:ascii="Times New Roman" w:hAnsi="Times New Roman" w:cs="Times New Roman"/>
          <w:sz w:val="24"/>
          <w:szCs w:val="24"/>
        </w:rPr>
        <w:t xml:space="preserve">da facultad a la Administración Tributaria para efectuar la estimación de la base imponible para efectos de IVA si los precios utilizados por el contribuyente: a) no son fidedignos, b) son inferiores o superiores al precio corriente de mercado, c) no se hubieren emitido los documentos que señala el Código Tributario u otras leyes tributarias, d) el valor de las operaciones no estuviere determinado o no fuere o no </w:t>
      </w:r>
      <w:r w:rsidRPr="00527B29">
        <w:rPr>
          <w:rFonts w:ascii="Times New Roman" w:hAnsi="Times New Roman" w:cs="Times New Roman"/>
          <w:sz w:val="24"/>
          <w:szCs w:val="24"/>
        </w:rPr>
        <w:lastRenderedPageBreak/>
        <w:t xml:space="preserve">pudiere ser conocido; sin importar si se trata de bienes gravados, exentos o no afectos a dicho impuesto. </w:t>
      </w:r>
    </w:p>
    <w:p w:rsidR="00393DAA" w:rsidRDefault="004F7F46" w:rsidP="00393DAA">
      <w:pPr>
        <w:jc w:val="both"/>
        <w:rPr>
          <w:rFonts w:ascii="Times New Roman" w:hAnsi="Times New Roman" w:cs="Times New Roman"/>
          <w:sz w:val="24"/>
          <w:szCs w:val="24"/>
        </w:rPr>
      </w:pPr>
      <w:r w:rsidRPr="00527B29">
        <w:rPr>
          <w:rFonts w:ascii="Times New Roman" w:hAnsi="Times New Roman" w:cs="Times New Roman"/>
          <w:sz w:val="24"/>
          <w:szCs w:val="24"/>
        </w:rPr>
        <w:t>Igual facultad tiene la Administración Tributaria para establecer el crédito fiscal, si el precio de adquisición de los bienes o servicios es superior al corriente de mercado. En el caso de impuesto sobre la renta, la Administración Tributaria podrá determinar la renta y las deducciones, si éstas resultan ser</w:t>
      </w:r>
      <w:r w:rsidR="00527B29" w:rsidRPr="00527B29">
        <w:rPr>
          <w:rFonts w:ascii="Times New Roman" w:hAnsi="Times New Roman" w:cs="Times New Roman"/>
          <w:sz w:val="24"/>
          <w:szCs w:val="24"/>
        </w:rPr>
        <w:t xml:space="preserve"> </w:t>
      </w:r>
      <w:r w:rsidRPr="00527B29">
        <w:rPr>
          <w:rFonts w:ascii="Times New Roman" w:hAnsi="Times New Roman" w:cs="Times New Roman"/>
          <w:sz w:val="24"/>
          <w:szCs w:val="24"/>
        </w:rPr>
        <w:t xml:space="preserve">superiores o inferiores al utilizar precios de mercado. </w:t>
      </w:r>
    </w:p>
    <w:p w:rsidR="0084270B" w:rsidRDefault="004F7F46" w:rsidP="00393DAA">
      <w:pPr>
        <w:jc w:val="both"/>
        <w:rPr>
          <w:rFonts w:ascii="Times New Roman" w:hAnsi="Times New Roman" w:cs="Times New Roman"/>
          <w:sz w:val="24"/>
          <w:szCs w:val="24"/>
        </w:rPr>
      </w:pPr>
      <w:r w:rsidRPr="00527B29">
        <w:rPr>
          <w:rFonts w:ascii="Times New Roman" w:hAnsi="Times New Roman" w:cs="Times New Roman"/>
          <w:sz w:val="24"/>
          <w:szCs w:val="24"/>
        </w:rPr>
        <w:t xml:space="preserve">El artículo 199-B </w:t>
      </w:r>
      <w:r w:rsidR="00393DAA" w:rsidRPr="00527B29">
        <w:rPr>
          <w:rFonts w:ascii="Times New Roman" w:hAnsi="Times New Roman" w:cs="Times New Roman"/>
          <w:sz w:val="24"/>
          <w:szCs w:val="24"/>
        </w:rPr>
        <w:t xml:space="preserve">del Código Tributario </w:t>
      </w:r>
      <w:r w:rsidRPr="00527B29">
        <w:rPr>
          <w:rFonts w:ascii="Times New Roman" w:hAnsi="Times New Roman" w:cs="Times New Roman"/>
          <w:sz w:val="24"/>
          <w:szCs w:val="24"/>
        </w:rPr>
        <w:t>establece que el precio de mercado en operaciones locales es el precio de venta utilizado por otras empresas no relacionadas que comercialicen bienes o servicios de la misma especie. Para la exportación de bienes o servicios, el precio de mercado es el que otros sujetos no relacionados utilicen para bienes o servicios de la misma especie, desde El Salvador hacia el mismo país de destino. En el caso de las importaciones, el precio de mercado lo constituye el que tengan los bienes o servicios de la misma especie para otro suplidor no relacionado, más los gastos de transporte, cuando proceda.</w:t>
      </w:r>
      <w:r w:rsidR="00527B29" w:rsidRPr="00527B29">
        <w:rPr>
          <w:rFonts w:ascii="Times New Roman" w:hAnsi="Times New Roman" w:cs="Times New Roman"/>
          <w:sz w:val="24"/>
          <w:szCs w:val="24"/>
        </w:rPr>
        <w:t xml:space="preserve"> </w:t>
      </w:r>
      <w:r w:rsidRPr="00527B29">
        <w:rPr>
          <w:rFonts w:ascii="Times New Roman" w:hAnsi="Times New Roman" w:cs="Times New Roman"/>
          <w:sz w:val="24"/>
          <w:szCs w:val="24"/>
        </w:rPr>
        <w:t>Si por alguna razón el precio de mercado no puede ser determinado, la Administración Tributaria lo establecerá adoptando el precio o el monto de las contraprestaciones que el contribuyente haya recibido de los adquirentes de los bienes o servicios no relacionados.</w:t>
      </w:r>
    </w:p>
    <w:p w:rsidR="004F7F46" w:rsidRPr="00527B29" w:rsidRDefault="004F7F46" w:rsidP="00393DAA">
      <w:pPr>
        <w:jc w:val="both"/>
        <w:rPr>
          <w:rFonts w:ascii="Times New Roman" w:hAnsi="Times New Roman" w:cs="Times New Roman"/>
          <w:sz w:val="24"/>
          <w:szCs w:val="24"/>
        </w:rPr>
      </w:pPr>
      <w:r w:rsidRPr="00527B29">
        <w:rPr>
          <w:rFonts w:ascii="Times New Roman" w:hAnsi="Times New Roman" w:cs="Times New Roman"/>
          <w:sz w:val="24"/>
          <w:szCs w:val="24"/>
        </w:rPr>
        <w:t xml:space="preserve">Es importante tomar en cuenta que el artículo 199-C </w:t>
      </w:r>
      <w:r w:rsidR="0084270B" w:rsidRPr="00527B29">
        <w:rPr>
          <w:rFonts w:ascii="Times New Roman" w:hAnsi="Times New Roman" w:cs="Times New Roman"/>
          <w:sz w:val="24"/>
          <w:szCs w:val="24"/>
        </w:rPr>
        <w:t xml:space="preserve">del Código Tributario </w:t>
      </w:r>
      <w:r w:rsidRPr="00527B29">
        <w:rPr>
          <w:rFonts w:ascii="Times New Roman" w:hAnsi="Times New Roman" w:cs="Times New Roman"/>
          <w:sz w:val="24"/>
          <w:szCs w:val="24"/>
        </w:rPr>
        <w:t>establece los casos en que debe considerarse sujetos relacionados para efectos fiscales, así:</w:t>
      </w:r>
    </w:p>
    <w:p w:rsidR="004F7F46" w:rsidRPr="00527B29" w:rsidRDefault="004F7F46" w:rsidP="0084270B">
      <w:pPr>
        <w:ind w:left="708"/>
        <w:jc w:val="both"/>
        <w:rPr>
          <w:rFonts w:ascii="Times New Roman" w:hAnsi="Times New Roman" w:cs="Times New Roman"/>
          <w:sz w:val="24"/>
          <w:szCs w:val="24"/>
        </w:rPr>
      </w:pPr>
      <w:r w:rsidRPr="00527B29">
        <w:rPr>
          <w:rFonts w:ascii="Times New Roman" w:hAnsi="Times New Roman" w:cs="Times New Roman"/>
          <w:sz w:val="24"/>
          <w:szCs w:val="24"/>
        </w:rPr>
        <w:t>a)</w:t>
      </w:r>
      <w:r w:rsidR="00527B29" w:rsidRPr="00527B29">
        <w:rPr>
          <w:rFonts w:ascii="Times New Roman" w:hAnsi="Times New Roman" w:cs="Times New Roman"/>
          <w:sz w:val="24"/>
          <w:szCs w:val="24"/>
        </w:rPr>
        <w:t xml:space="preserve"> </w:t>
      </w:r>
      <w:r w:rsidRPr="00527B29">
        <w:rPr>
          <w:rFonts w:ascii="Times New Roman" w:hAnsi="Times New Roman" w:cs="Times New Roman"/>
          <w:sz w:val="24"/>
          <w:szCs w:val="24"/>
        </w:rPr>
        <w:t>Cuando uno de ellos dirija o controle a la otra parte, o posea directa o indirectamente, al menos el 25% del capital social o del derecho a voto.</w:t>
      </w:r>
    </w:p>
    <w:p w:rsidR="004F7F46" w:rsidRPr="00527B29" w:rsidRDefault="004F7F46" w:rsidP="0084270B">
      <w:pPr>
        <w:ind w:left="708"/>
        <w:jc w:val="both"/>
        <w:rPr>
          <w:rFonts w:ascii="Times New Roman" w:hAnsi="Times New Roman" w:cs="Times New Roman"/>
          <w:sz w:val="24"/>
          <w:szCs w:val="24"/>
        </w:rPr>
      </w:pPr>
      <w:r w:rsidRPr="00527B29">
        <w:rPr>
          <w:rFonts w:ascii="Times New Roman" w:hAnsi="Times New Roman" w:cs="Times New Roman"/>
          <w:sz w:val="24"/>
          <w:szCs w:val="24"/>
        </w:rPr>
        <w:t>b)</w:t>
      </w:r>
      <w:r w:rsidR="00527B29" w:rsidRPr="00527B29">
        <w:rPr>
          <w:rFonts w:ascii="Times New Roman" w:hAnsi="Times New Roman" w:cs="Times New Roman"/>
          <w:sz w:val="24"/>
          <w:szCs w:val="24"/>
        </w:rPr>
        <w:t xml:space="preserve"> </w:t>
      </w:r>
      <w:r w:rsidRPr="00527B29">
        <w:rPr>
          <w:rFonts w:ascii="Times New Roman" w:hAnsi="Times New Roman" w:cs="Times New Roman"/>
          <w:sz w:val="24"/>
          <w:szCs w:val="24"/>
        </w:rPr>
        <w:t>Cuando cinco o menos personas dirijan o controlen ambas entidades o posean en forma conjunta, directa o indirectamente, al menos el 25% de participación en el capital social o los derechos de voto de ambas entidades.</w:t>
      </w:r>
    </w:p>
    <w:p w:rsidR="004F7F46" w:rsidRPr="00527B29" w:rsidRDefault="004F7F46" w:rsidP="0084270B">
      <w:pPr>
        <w:ind w:left="708"/>
        <w:jc w:val="both"/>
        <w:rPr>
          <w:rFonts w:ascii="Times New Roman" w:hAnsi="Times New Roman" w:cs="Times New Roman"/>
          <w:sz w:val="24"/>
          <w:szCs w:val="24"/>
        </w:rPr>
      </w:pPr>
      <w:r w:rsidRPr="00527B29">
        <w:rPr>
          <w:rFonts w:ascii="Times New Roman" w:hAnsi="Times New Roman" w:cs="Times New Roman"/>
          <w:sz w:val="24"/>
          <w:szCs w:val="24"/>
        </w:rPr>
        <w:t>c)</w:t>
      </w:r>
      <w:r w:rsidR="00527B29" w:rsidRPr="00527B29">
        <w:rPr>
          <w:rFonts w:ascii="Times New Roman" w:hAnsi="Times New Roman" w:cs="Times New Roman"/>
          <w:sz w:val="24"/>
          <w:szCs w:val="24"/>
        </w:rPr>
        <w:t xml:space="preserve"> </w:t>
      </w:r>
      <w:r w:rsidRPr="00527B29">
        <w:rPr>
          <w:rFonts w:ascii="Times New Roman" w:hAnsi="Times New Roman" w:cs="Times New Roman"/>
          <w:sz w:val="24"/>
          <w:szCs w:val="24"/>
        </w:rPr>
        <w:t>Cuando se trate de sociedades que pertenezcan a una misma unidad de decisión o grupo empresarial.</w:t>
      </w:r>
    </w:p>
    <w:p w:rsidR="004F7F46" w:rsidRPr="00527B29" w:rsidRDefault="004F7F46" w:rsidP="0084270B">
      <w:pPr>
        <w:ind w:left="708"/>
        <w:jc w:val="both"/>
        <w:rPr>
          <w:rFonts w:ascii="Times New Roman" w:hAnsi="Times New Roman" w:cs="Times New Roman"/>
          <w:sz w:val="24"/>
          <w:szCs w:val="24"/>
        </w:rPr>
      </w:pPr>
      <w:r w:rsidRPr="00527B29">
        <w:rPr>
          <w:rFonts w:ascii="Times New Roman" w:hAnsi="Times New Roman" w:cs="Times New Roman"/>
          <w:sz w:val="24"/>
          <w:szCs w:val="24"/>
        </w:rPr>
        <w:t>d)</w:t>
      </w:r>
      <w:r w:rsidR="00527B29" w:rsidRPr="00527B29">
        <w:rPr>
          <w:rFonts w:ascii="Times New Roman" w:hAnsi="Times New Roman" w:cs="Times New Roman"/>
          <w:sz w:val="24"/>
          <w:szCs w:val="24"/>
        </w:rPr>
        <w:t xml:space="preserve"> </w:t>
      </w:r>
      <w:r w:rsidRPr="00527B29">
        <w:rPr>
          <w:rFonts w:ascii="Times New Roman" w:hAnsi="Times New Roman" w:cs="Times New Roman"/>
          <w:sz w:val="24"/>
          <w:szCs w:val="24"/>
        </w:rPr>
        <w:t>También se considera que una</w:t>
      </w:r>
      <w:r w:rsidR="00527B29" w:rsidRPr="00527B29">
        <w:rPr>
          <w:rFonts w:ascii="Times New Roman" w:hAnsi="Times New Roman" w:cs="Times New Roman"/>
          <w:sz w:val="24"/>
          <w:szCs w:val="24"/>
        </w:rPr>
        <w:t xml:space="preserve"> </w:t>
      </w:r>
      <w:r w:rsidRPr="00527B29">
        <w:rPr>
          <w:rFonts w:ascii="Times New Roman" w:hAnsi="Times New Roman" w:cs="Times New Roman"/>
          <w:sz w:val="24"/>
          <w:szCs w:val="24"/>
        </w:rPr>
        <w:t>persona natural posee una participación en el capital</w:t>
      </w:r>
      <w:r w:rsidR="00527B29" w:rsidRPr="00527B29">
        <w:rPr>
          <w:rFonts w:ascii="Times New Roman" w:hAnsi="Times New Roman" w:cs="Times New Roman"/>
          <w:sz w:val="24"/>
          <w:szCs w:val="24"/>
        </w:rPr>
        <w:t xml:space="preserve"> </w:t>
      </w:r>
      <w:r w:rsidRPr="00527B29">
        <w:rPr>
          <w:rFonts w:ascii="Times New Roman" w:hAnsi="Times New Roman" w:cs="Times New Roman"/>
          <w:sz w:val="24"/>
          <w:szCs w:val="24"/>
        </w:rPr>
        <w:t>social o derechos de voto, cuando la titularidad de la participación directa o indirectamente, corresponda al cónyuge o persona unida por relación de parentesco en línea directa o colateral, hasta el cuarto grado de consanguinidad, o hasta el segundo de afinidad.</w:t>
      </w:r>
    </w:p>
    <w:p w:rsidR="004F7F46" w:rsidRPr="00527B29" w:rsidRDefault="004F7F46" w:rsidP="0084270B">
      <w:pPr>
        <w:ind w:left="708"/>
        <w:jc w:val="both"/>
        <w:rPr>
          <w:rFonts w:ascii="Times New Roman" w:hAnsi="Times New Roman" w:cs="Times New Roman"/>
          <w:sz w:val="24"/>
          <w:szCs w:val="24"/>
        </w:rPr>
      </w:pPr>
      <w:r w:rsidRPr="00527B29">
        <w:rPr>
          <w:rFonts w:ascii="Times New Roman" w:hAnsi="Times New Roman" w:cs="Times New Roman"/>
          <w:sz w:val="24"/>
          <w:szCs w:val="24"/>
        </w:rPr>
        <w:t>e)</w:t>
      </w:r>
      <w:r w:rsidR="00527B29" w:rsidRPr="00527B29">
        <w:rPr>
          <w:rFonts w:ascii="Times New Roman" w:hAnsi="Times New Roman" w:cs="Times New Roman"/>
          <w:sz w:val="24"/>
          <w:szCs w:val="24"/>
        </w:rPr>
        <w:t xml:space="preserve"> </w:t>
      </w:r>
      <w:r w:rsidRPr="00527B29">
        <w:rPr>
          <w:rFonts w:ascii="Times New Roman" w:hAnsi="Times New Roman" w:cs="Times New Roman"/>
          <w:sz w:val="24"/>
          <w:szCs w:val="24"/>
        </w:rPr>
        <w:t>En una unión de personas, sociedad de hecho, contrato de colaboración empresarial, contrato de asociación en participación, cuando alguno de los contratantes o asociados participe directa o indirectamente en más del 25% del resultado o utilidad del contrato o de las actividades derivadas de la asociación.</w:t>
      </w:r>
    </w:p>
    <w:p w:rsidR="004F7F46" w:rsidRPr="00527B29" w:rsidRDefault="004F7F46" w:rsidP="0084270B">
      <w:pPr>
        <w:ind w:left="708"/>
        <w:jc w:val="both"/>
        <w:rPr>
          <w:rFonts w:ascii="Times New Roman" w:hAnsi="Times New Roman" w:cs="Times New Roman"/>
          <w:sz w:val="24"/>
          <w:szCs w:val="24"/>
        </w:rPr>
      </w:pPr>
      <w:r w:rsidRPr="00527B29">
        <w:rPr>
          <w:rFonts w:ascii="Times New Roman" w:hAnsi="Times New Roman" w:cs="Times New Roman"/>
          <w:sz w:val="24"/>
          <w:szCs w:val="24"/>
        </w:rPr>
        <w:t>f)</w:t>
      </w:r>
      <w:r w:rsidR="00527B29" w:rsidRPr="00527B29">
        <w:rPr>
          <w:rFonts w:ascii="Times New Roman" w:hAnsi="Times New Roman" w:cs="Times New Roman"/>
          <w:sz w:val="24"/>
          <w:szCs w:val="24"/>
        </w:rPr>
        <w:t xml:space="preserve"> </w:t>
      </w:r>
      <w:r w:rsidRPr="00527B29">
        <w:rPr>
          <w:rFonts w:ascii="Times New Roman" w:hAnsi="Times New Roman" w:cs="Times New Roman"/>
          <w:sz w:val="24"/>
          <w:szCs w:val="24"/>
        </w:rPr>
        <w:t>Cuando exista una persona domiciliada en el país con un distribuidor exclusivo residente en el extranjero.</w:t>
      </w:r>
    </w:p>
    <w:p w:rsidR="004F7F46" w:rsidRPr="00527B29" w:rsidRDefault="004F7F46" w:rsidP="0084270B">
      <w:pPr>
        <w:ind w:left="708"/>
        <w:jc w:val="both"/>
        <w:rPr>
          <w:rFonts w:ascii="Times New Roman" w:hAnsi="Times New Roman" w:cs="Times New Roman"/>
          <w:sz w:val="24"/>
          <w:szCs w:val="24"/>
        </w:rPr>
      </w:pPr>
      <w:r w:rsidRPr="00527B29">
        <w:rPr>
          <w:rFonts w:ascii="Times New Roman" w:hAnsi="Times New Roman" w:cs="Times New Roman"/>
          <w:sz w:val="24"/>
          <w:szCs w:val="24"/>
        </w:rPr>
        <w:lastRenderedPageBreak/>
        <w:t>g)</w:t>
      </w:r>
      <w:r w:rsidR="00527B29" w:rsidRPr="00527B29">
        <w:rPr>
          <w:rFonts w:ascii="Times New Roman" w:hAnsi="Times New Roman" w:cs="Times New Roman"/>
          <w:sz w:val="24"/>
          <w:szCs w:val="24"/>
        </w:rPr>
        <w:t xml:space="preserve"> </w:t>
      </w:r>
      <w:r w:rsidRPr="00527B29">
        <w:rPr>
          <w:rFonts w:ascii="Times New Roman" w:hAnsi="Times New Roman" w:cs="Times New Roman"/>
          <w:sz w:val="24"/>
          <w:szCs w:val="24"/>
        </w:rPr>
        <w:t>Cuando exista un distribuidor o agente exclusivo domiciliado en el país, de una entidad domiciliada en el exterior.</w:t>
      </w:r>
    </w:p>
    <w:p w:rsidR="004F7F46" w:rsidRPr="00527B29" w:rsidRDefault="004F7F46" w:rsidP="0084270B">
      <w:pPr>
        <w:ind w:left="708"/>
        <w:jc w:val="both"/>
        <w:rPr>
          <w:rFonts w:ascii="Times New Roman" w:hAnsi="Times New Roman" w:cs="Times New Roman"/>
          <w:sz w:val="24"/>
          <w:szCs w:val="24"/>
        </w:rPr>
      </w:pPr>
      <w:r w:rsidRPr="00527B29">
        <w:rPr>
          <w:rFonts w:ascii="Times New Roman" w:hAnsi="Times New Roman" w:cs="Times New Roman"/>
          <w:sz w:val="24"/>
          <w:szCs w:val="24"/>
        </w:rPr>
        <w:t>h)</w:t>
      </w:r>
      <w:r w:rsidR="00527B29" w:rsidRPr="00527B29">
        <w:rPr>
          <w:rFonts w:ascii="Times New Roman" w:hAnsi="Times New Roman" w:cs="Times New Roman"/>
          <w:sz w:val="24"/>
          <w:szCs w:val="24"/>
        </w:rPr>
        <w:t xml:space="preserve"> </w:t>
      </w:r>
      <w:r w:rsidRPr="00527B29">
        <w:rPr>
          <w:rFonts w:ascii="Times New Roman" w:hAnsi="Times New Roman" w:cs="Times New Roman"/>
          <w:sz w:val="24"/>
          <w:szCs w:val="24"/>
        </w:rPr>
        <w:t>Cuando una persona domiciliada en el país realice compras a su proveedor del exterior por más del 50% del total de las compras.</w:t>
      </w:r>
    </w:p>
    <w:p w:rsidR="004F7F46" w:rsidRPr="00527B29" w:rsidRDefault="004F7F46" w:rsidP="0084270B">
      <w:pPr>
        <w:ind w:left="708"/>
        <w:jc w:val="both"/>
        <w:rPr>
          <w:rFonts w:ascii="Times New Roman" w:hAnsi="Times New Roman" w:cs="Times New Roman"/>
          <w:sz w:val="24"/>
          <w:szCs w:val="24"/>
        </w:rPr>
      </w:pPr>
      <w:r w:rsidRPr="00527B29">
        <w:rPr>
          <w:rFonts w:ascii="Times New Roman" w:hAnsi="Times New Roman" w:cs="Times New Roman"/>
          <w:sz w:val="24"/>
          <w:szCs w:val="24"/>
        </w:rPr>
        <w:t>i)</w:t>
      </w:r>
      <w:r w:rsidR="00527B29" w:rsidRPr="00527B29">
        <w:rPr>
          <w:rFonts w:ascii="Times New Roman" w:hAnsi="Times New Roman" w:cs="Times New Roman"/>
          <w:sz w:val="24"/>
          <w:szCs w:val="24"/>
        </w:rPr>
        <w:t xml:space="preserve"> </w:t>
      </w:r>
      <w:r w:rsidRPr="00527B29">
        <w:rPr>
          <w:rFonts w:ascii="Times New Roman" w:hAnsi="Times New Roman" w:cs="Times New Roman"/>
          <w:sz w:val="24"/>
          <w:szCs w:val="24"/>
        </w:rPr>
        <w:t>Cuando una persona residente en el país tenga establecimientos permanentes en el extranjero.</w:t>
      </w:r>
    </w:p>
    <w:p w:rsidR="004F7F46" w:rsidRPr="00527B29" w:rsidRDefault="004F7F46" w:rsidP="0084270B">
      <w:pPr>
        <w:ind w:left="708"/>
        <w:jc w:val="both"/>
        <w:rPr>
          <w:rFonts w:ascii="Times New Roman" w:hAnsi="Times New Roman" w:cs="Times New Roman"/>
          <w:sz w:val="24"/>
          <w:szCs w:val="24"/>
        </w:rPr>
      </w:pPr>
      <w:r w:rsidRPr="00527B29">
        <w:rPr>
          <w:rFonts w:ascii="Times New Roman" w:hAnsi="Times New Roman" w:cs="Times New Roman"/>
          <w:sz w:val="24"/>
          <w:szCs w:val="24"/>
        </w:rPr>
        <w:t>j)</w:t>
      </w:r>
      <w:r w:rsidR="00527B29" w:rsidRPr="00527B29">
        <w:rPr>
          <w:rFonts w:ascii="Times New Roman" w:hAnsi="Times New Roman" w:cs="Times New Roman"/>
          <w:sz w:val="24"/>
          <w:szCs w:val="24"/>
        </w:rPr>
        <w:t xml:space="preserve"> </w:t>
      </w:r>
      <w:r w:rsidRPr="00527B29">
        <w:rPr>
          <w:rFonts w:ascii="Times New Roman" w:hAnsi="Times New Roman" w:cs="Times New Roman"/>
          <w:sz w:val="24"/>
          <w:szCs w:val="24"/>
        </w:rPr>
        <w:t xml:space="preserve">Cuando un establecimiento permanente situado en el país tenga su matriz en el exterior u </w:t>
      </w:r>
      <w:r w:rsidR="0084270B" w:rsidRPr="00527B29">
        <w:rPr>
          <w:rFonts w:ascii="Times New Roman" w:hAnsi="Times New Roman" w:cs="Times New Roman"/>
          <w:sz w:val="24"/>
          <w:szCs w:val="24"/>
        </w:rPr>
        <w:t>otra</w:t>
      </w:r>
      <w:r w:rsidRPr="00527B29">
        <w:rPr>
          <w:rFonts w:ascii="Times New Roman" w:hAnsi="Times New Roman" w:cs="Times New Roman"/>
          <w:sz w:val="24"/>
          <w:szCs w:val="24"/>
        </w:rPr>
        <w:t xml:space="preserve"> entidad relacionada.</w:t>
      </w:r>
    </w:p>
    <w:p w:rsidR="00527B29" w:rsidRPr="00527B29" w:rsidRDefault="004F7F46" w:rsidP="0084270B">
      <w:pPr>
        <w:ind w:left="708"/>
        <w:jc w:val="both"/>
        <w:rPr>
          <w:rFonts w:ascii="Times New Roman" w:hAnsi="Times New Roman" w:cs="Times New Roman"/>
          <w:sz w:val="24"/>
          <w:szCs w:val="24"/>
        </w:rPr>
      </w:pPr>
      <w:r w:rsidRPr="00527B29">
        <w:rPr>
          <w:rFonts w:ascii="Times New Roman" w:hAnsi="Times New Roman" w:cs="Times New Roman"/>
          <w:sz w:val="24"/>
          <w:szCs w:val="24"/>
        </w:rPr>
        <w:t>k)</w:t>
      </w:r>
      <w:r w:rsidR="00527B29" w:rsidRPr="00527B29">
        <w:rPr>
          <w:rFonts w:ascii="Times New Roman" w:hAnsi="Times New Roman" w:cs="Times New Roman"/>
          <w:sz w:val="24"/>
          <w:szCs w:val="24"/>
        </w:rPr>
        <w:t xml:space="preserve"> </w:t>
      </w:r>
      <w:r w:rsidRPr="00527B29">
        <w:rPr>
          <w:rFonts w:ascii="Times New Roman" w:hAnsi="Times New Roman" w:cs="Times New Roman"/>
          <w:sz w:val="24"/>
          <w:szCs w:val="24"/>
        </w:rPr>
        <w:t>En el caso de operaciones realizadas con sujetos domiciliados, constituidos o ubicados en países, estados o territorios con regímenes</w:t>
      </w:r>
      <w:r w:rsidR="00527B29" w:rsidRPr="00527B29">
        <w:rPr>
          <w:rFonts w:ascii="Times New Roman" w:hAnsi="Times New Roman" w:cs="Times New Roman"/>
          <w:sz w:val="24"/>
          <w:szCs w:val="24"/>
        </w:rPr>
        <w:t xml:space="preserve"> fiscales preferentes, de baja o nula tributación o paraísos fiscales. (Art.199-D). </w:t>
      </w:r>
    </w:p>
    <w:p w:rsidR="008037E7" w:rsidRDefault="008037E7" w:rsidP="00527B29">
      <w:pPr>
        <w:jc w:val="both"/>
        <w:rPr>
          <w:rFonts w:ascii="Times New Roman" w:hAnsi="Times New Roman" w:cs="Times New Roman"/>
          <w:sz w:val="24"/>
          <w:szCs w:val="24"/>
        </w:rPr>
      </w:pPr>
    </w:p>
    <w:p w:rsidR="00527B29" w:rsidRPr="00527B29" w:rsidRDefault="00527B29" w:rsidP="00527B29">
      <w:pPr>
        <w:jc w:val="both"/>
        <w:rPr>
          <w:rFonts w:ascii="Times New Roman" w:hAnsi="Times New Roman" w:cs="Times New Roman"/>
          <w:sz w:val="24"/>
          <w:szCs w:val="24"/>
        </w:rPr>
      </w:pPr>
      <w:r w:rsidRPr="00527B29">
        <w:rPr>
          <w:rFonts w:ascii="Times New Roman" w:hAnsi="Times New Roman" w:cs="Times New Roman"/>
          <w:sz w:val="24"/>
          <w:szCs w:val="24"/>
        </w:rPr>
        <w:t xml:space="preserve">El </w:t>
      </w:r>
      <w:r w:rsidR="0084270B" w:rsidRPr="00527B29">
        <w:rPr>
          <w:rFonts w:ascii="Times New Roman" w:hAnsi="Times New Roman" w:cs="Times New Roman"/>
          <w:sz w:val="24"/>
          <w:szCs w:val="24"/>
        </w:rPr>
        <w:t>artículo</w:t>
      </w:r>
      <w:r w:rsidRPr="00527B29">
        <w:rPr>
          <w:rFonts w:ascii="Times New Roman" w:hAnsi="Times New Roman" w:cs="Times New Roman"/>
          <w:sz w:val="24"/>
          <w:szCs w:val="24"/>
        </w:rPr>
        <w:t xml:space="preserve"> 199-D </w:t>
      </w:r>
      <w:r w:rsidR="0084270B" w:rsidRPr="00527B29">
        <w:rPr>
          <w:rFonts w:ascii="Times New Roman" w:hAnsi="Times New Roman" w:cs="Times New Roman"/>
          <w:sz w:val="24"/>
          <w:szCs w:val="24"/>
        </w:rPr>
        <w:t xml:space="preserve">del Código Tributario </w:t>
      </w:r>
      <w:r w:rsidRPr="00527B29">
        <w:rPr>
          <w:rFonts w:ascii="Times New Roman" w:hAnsi="Times New Roman" w:cs="Times New Roman"/>
          <w:sz w:val="24"/>
          <w:szCs w:val="24"/>
        </w:rPr>
        <w:t>establece los criterios de comparabilidad de las operaciones realizadas por los contribuyentes con partes independientes, y la forma de eliminar las diferencias que afecten significativamente el precio o monto de la contraprestación. El artículo 125 del Código Tributario establece la obligación para los sujetos pasivos con ingresos iguales o superiores a $571,522.80, de presentar a la Administración Tributaria un informe semestral (en enero y julio) por medio magnético o electrónico relativo a las transferencias de bienes o prestaciones de servicios que hayan realizado, incluyendo la siguiente información:</w:t>
      </w:r>
    </w:p>
    <w:p w:rsidR="00527B29" w:rsidRPr="00527B29" w:rsidRDefault="00527B29" w:rsidP="00527B29">
      <w:pPr>
        <w:pStyle w:val="Default"/>
        <w:jc w:val="both"/>
        <w:rPr>
          <w:rFonts w:ascii="Times New Roman" w:hAnsi="Times New Roman" w:cs="Times New Roman"/>
        </w:rPr>
      </w:pPr>
    </w:p>
    <w:p w:rsidR="00527B29" w:rsidRPr="00527B29" w:rsidRDefault="00527B29" w:rsidP="00527B29">
      <w:pPr>
        <w:pStyle w:val="Default"/>
        <w:numPr>
          <w:ilvl w:val="0"/>
          <w:numId w:val="3"/>
        </w:numPr>
        <w:jc w:val="both"/>
        <w:rPr>
          <w:rFonts w:ascii="Times New Roman" w:hAnsi="Times New Roman" w:cs="Times New Roman"/>
        </w:rPr>
      </w:pPr>
      <w:r w:rsidRPr="00527B29">
        <w:rPr>
          <w:rFonts w:ascii="Times New Roman" w:hAnsi="Times New Roman" w:cs="Times New Roman"/>
        </w:rPr>
        <w:t>Identificación de los proveedores de bienes y servicios, el concepto de la operación o transacción, el valor acumulado mensual y el crédito fiscal de IVA. Igual obligación existe si las compras se han hecho a sujetos excluidos de dicho impuesto. (Tomar en cuenta lo establecido en el artículo 119 del Código Tributario).</w:t>
      </w:r>
    </w:p>
    <w:p w:rsidR="00527B29" w:rsidRPr="00527B29" w:rsidRDefault="00527B29" w:rsidP="00527B29">
      <w:pPr>
        <w:pStyle w:val="Default"/>
        <w:jc w:val="both"/>
        <w:rPr>
          <w:rFonts w:ascii="Times New Roman" w:hAnsi="Times New Roman" w:cs="Times New Roman"/>
        </w:rPr>
      </w:pPr>
    </w:p>
    <w:p w:rsidR="00527B29" w:rsidRPr="00527B29" w:rsidRDefault="00527B29" w:rsidP="00527B29">
      <w:pPr>
        <w:pStyle w:val="Default"/>
        <w:numPr>
          <w:ilvl w:val="0"/>
          <w:numId w:val="3"/>
        </w:numPr>
        <w:jc w:val="both"/>
        <w:rPr>
          <w:rFonts w:ascii="Times New Roman" w:hAnsi="Times New Roman" w:cs="Times New Roman"/>
        </w:rPr>
      </w:pPr>
      <w:r w:rsidRPr="00527B29">
        <w:rPr>
          <w:rFonts w:ascii="Times New Roman" w:hAnsi="Times New Roman" w:cs="Times New Roman"/>
        </w:rPr>
        <w:t>Identificación de clientes, indicando el concepto de la operación o transacción, el valor acumulado mensual y el débito fiscal de IVA.</w:t>
      </w:r>
    </w:p>
    <w:p w:rsidR="00527B29" w:rsidRPr="00527B29" w:rsidRDefault="00527B29" w:rsidP="00527B29">
      <w:pPr>
        <w:pStyle w:val="Prrafodelista"/>
        <w:jc w:val="both"/>
        <w:rPr>
          <w:rFonts w:ascii="Times New Roman" w:hAnsi="Times New Roman" w:cs="Times New Roman"/>
          <w:sz w:val="24"/>
          <w:szCs w:val="24"/>
        </w:rPr>
      </w:pPr>
    </w:p>
    <w:p w:rsidR="00527B29" w:rsidRPr="00527B29" w:rsidRDefault="00527B29" w:rsidP="00527B29">
      <w:pPr>
        <w:pStyle w:val="Default"/>
        <w:numPr>
          <w:ilvl w:val="0"/>
          <w:numId w:val="3"/>
        </w:numPr>
        <w:jc w:val="both"/>
        <w:rPr>
          <w:rFonts w:ascii="Times New Roman" w:hAnsi="Times New Roman" w:cs="Times New Roman"/>
        </w:rPr>
      </w:pPr>
      <w:r w:rsidRPr="00527B29">
        <w:rPr>
          <w:rFonts w:ascii="Times New Roman" w:hAnsi="Times New Roman" w:cs="Times New Roman"/>
        </w:rPr>
        <w:t>Identificación de las personas o entidades por cuenta de quienes, sin ser representantes, se recibieron ingresos, indicando el monto y la identificación del tercero.</w:t>
      </w:r>
    </w:p>
    <w:p w:rsidR="00527B29" w:rsidRPr="00527B29" w:rsidRDefault="00527B29" w:rsidP="00527B29">
      <w:pPr>
        <w:pStyle w:val="Prrafodelista"/>
        <w:jc w:val="both"/>
        <w:rPr>
          <w:rFonts w:ascii="Times New Roman" w:hAnsi="Times New Roman" w:cs="Times New Roman"/>
          <w:sz w:val="24"/>
          <w:szCs w:val="24"/>
        </w:rPr>
      </w:pPr>
    </w:p>
    <w:p w:rsidR="00527B29" w:rsidRPr="00527B29" w:rsidRDefault="00527B29" w:rsidP="00527B29">
      <w:pPr>
        <w:pStyle w:val="Default"/>
        <w:numPr>
          <w:ilvl w:val="0"/>
          <w:numId w:val="3"/>
        </w:numPr>
        <w:jc w:val="both"/>
        <w:rPr>
          <w:rFonts w:ascii="Times New Roman" w:hAnsi="Times New Roman" w:cs="Times New Roman"/>
        </w:rPr>
      </w:pPr>
      <w:r w:rsidRPr="00527B29">
        <w:rPr>
          <w:rFonts w:ascii="Times New Roman" w:hAnsi="Times New Roman" w:cs="Times New Roman"/>
        </w:rPr>
        <w:t>Identificación de los acreedores a cualquier título y condición, indicando el monto de las obligaciones.</w:t>
      </w:r>
    </w:p>
    <w:p w:rsidR="00527B29" w:rsidRPr="00527B29" w:rsidRDefault="00527B29" w:rsidP="00527B29">
      <w:pPr>
        <w:pStyle w:val="Prrafodelista"/>
        <w:jc w:val="both"/>
        <w:rPr>
          <w:rFonts w:ascii="Times New Roman" w:hAnsi="Times New Roman" w:cs="Times New Roman"/>
          <w:sz w:val="24"/>
          <w:szCs w:val="24"/>
        </w:rPr>
      </w:pPr>
    </w:p>
    <w:p w:rsidR="00527B29" w:rsidRPr="00527B29" w:rsidRDefault="00527B29" w:rsidP="00527B29">
      <w:pPr>
        <w:pStyle w:val="Default"/>
        <w:numPr>
          <w:ilvl w:val="0"/>
          <w:numId w:val="3"/>
        </w:numPr>
        <w:jc w:val="both"/>
        <w:rPr>
          <w:rFonts w:ascii="Times New Roman" w:hAnsi="Times New Roman" w:cs="Times New Roman"/>
        </w:rPr>
      </w:pPr>
      <w:r w:rsidRPr="00527B29">
        <w:rPr>
          <w:rFonts w:ascii="Times New Roman" w:hAnsi="Times New Roman" w:cs="Times New Roman"/>
        </w:rPr>
        <w:t xml:space="preserve">Identificación de los deudores a cualquier título y condición, indicando el monto de la obligación. </w:t>
      </w:r>
    </w:p>
    <w:p w:rsidR="00527B29" w:rsidRPr="00527B29" w:rsidRDefault="00527B29" w:rsidP="00527B29">
      <w:pPr>
        <w:pStyle w:val="Default"/>
        <w:jc w:val="both"/>
        <w:rPr>
          <w:rFonts w:ascii="Times New Roman" w:hAnsi="Times New Roman" w:cs="Times New Roman"/>
        </w:rPr>
      </w:pPr>
    </w:p>
    <w:p w:rsidR="00527B29" w:rsidRDefault="00527B29" w:rsidP="00527B29">
      <w:pPr>
        <w:pStyle w:val="Default"/>
        <w:jc w:val="both"/>
        <w:rPr>
          <w:rFonts w:ascii="Times New Roman" w:hAnsi="Times New Roman" w:cs="Times New Roman"/>
        </w:rPr>
      </w:pPr>
      <w:r w:rsidRPr="00527B29">
        <w:rPr>
          <w:rFonts w:ascii="Times New Roman" w:hAnsi="Times New Roman" w:cs="Times New Roman"/>
        </w:rPr>
        <w:lastRenderedPageBreak/>
        <w:t xml:space="preserve">La identificación consiste en detallar: </w:t>
      </w:r>
    </w:p>
    <w:p w:rsidR="008037E7" w:rsidRPr="00527B29" w:rsidRDefault="008037E7" w:rsidP="00527B29">
      <w:pPr>
        <w:pStyle w:val="Default"/>
        <w:jc w:val="both"/>
        <w:rPr>
          <w:rFonts w:ascii="Times New Roman" w:hAnsi="Times New Roman" w:cs="Times New Roman"/>
        </w:rPr>
      </w:pPr>
    </w:p>
    <w:p w:rsidR="00527B29" w:rsidRPr="00527B29" w:rsidRDefault="00527B29" w:rsidP="0084270B">
      <w:pPr>
        <w:pStyle w:val="Default"/>
        <w:ind w:left="708"/>
        <w:jc w:val="both"/>
        <w:rPr>
          <w:rFonts w:ascii="Times New Roman" w:hAnsi="Times New Roman" w:cs="Times New Roman"/>
        </w:rPr>
      </w:pPr>
      <w:r w:rsidRPr="00527B29">
        <w:rPr>
          <w:rFonts w:ascii="Times New Roman" w:hAnsi="Times New Roman" w:cs="Times New Roman"/>
        </w:rPr>
        <w:t xml:space="preserve">a) nombre, denominación o razón social, NIT, número de Registro de Contribuyente; </w:t>
      </w:r>
    </w:p>
    <w:p w:rsidR="00527B29" w:rsidRPr="00527B29" w:rsidRDefault="00527B29" w:rsidP="0084270B">
      <w:pPr>
        <w:pStyle w:val="Default"/>
        <w:ind w:left="708"/>
        <w:jc w:val="both"/>
        <w:rPr>
          <w:rFonts w:ascii="Times New Roman" w:hAnsi="Times New Roman" w:cs="Times New Roman"/>
        </w:rPr>
      </w:pPr>
      <w:r w:rsidRPr="00527B29">
        <w:rPr>
          <w:rFonts w:ascii="Times New Roman" w:hAnsi="Times New Roman" w:cs="Times New Roman"/>
        </w:rPr>
        <w:t>b) fecha, número y clase de documento emitido o recibido;</w:t>
      </w:r>
    </w:p>
    <w:p w:rsidR="00527B29" w:rsidRPr="00527B29" w:rsidRDefault="00527B29" w:rsidP="0084270B">
      <w:pPr>
        <w:pStyle w:val="Default"/>
        <w:ind w:left="708"/>
        <w:jc w:val="both"/>
        <w:rPr>
          <w:rFonts w:ascii="Times New Roman" w:hAnsi="Times New Roman" w:cs="Times New Roman"/>
        </w:rPr>
      </w:pPr>
      <w:r w:rsidRPr="00527B29">
        <w:rPr>
          <w:rFonts w:ascii="Times New Roman" w:hAnsi="Times New Roman" w:cs="Times New Roman"/>
        </w:rPr>
        <w:t xml:space="preserve"> c) en caso de proveedores extranjeros, personas naturales, que han ingresado al país, número de pasaporte o carnet de residente o documento equivalente; </w:t>
      </w:r>
    </w:p>
    <w:p w:rsidR="00527B29" w:rsidRPr="00527B29" w:rsidRDefault="00527B29" w:rsidP="0084270B">
      <w:pPr>
        <w:pStyle w:val="Default"/>
        <w:ind w:left="708"/>
        <w:jc w:val="both"/>
        <w:rPr>
          <w:rFonts w:ascii="Times New Roman" w:hAnsi="Times New Roman" w:cs="Times New Roman"/>
        </w:rPr>
      </w:pPr>
      <w:r w:rsidRPr="00527B29">
        <w:rPr>
          <w:rFonts w:ascii="Times New Roman" w:hAnsi="Times New Roman" w:cs="Times New Roman"/>
        </w:rPr>
        <w:t xml:space="preserve">d) en origen; </w:t>
      </w:r>
    </w:p>
    <w:p w:rsidR="00527B29" w:rsidRPr="00527B29" w:rsidRDefault="00527B29" w:rsidP="0084270B">
      <w:pPr>
        <w:pStyle w:val="Default"/>
        <w:ind w:left="708"/>
        <w:jc w:val="both"/>
        <w:rPr>
          <w:rFonts w:ascii="Times New Roman" w:hAnsi="Times New Roman" w:cs="Times New Roman"/>
        </w:rPr>
      </w:pPr>
      <w:r w:rsidRPr="00527B29">
        <w:rPr>
          <w:rFonts w:ascii="Times New Roman" w:hAnsi="Times New Roman" w:cs="Times New Roman"/>
        </w:rPr>
        <w:t xml:space="preserve">e) en el caso de caso de proveedores, personas naturales, que no han ingresado al país, el nombre de la persona y el NIT o registro fiscal de su país de origen; </w:t>
      </w:r>
    </w:p>
    <w:p w:rsidR="00527B29" w:rsidRPr="00527B29" w:rsidRDefault="00527B29" w:rsidP="0084270B">
      <w:pPr>
        <w:pStyle w:val="Default"/>
        <w:ind w:left="708"/>
        <w:jc w:val="both"/>
        <w:rPr>
          <w:rFonts w:ascii="Times New Roman" w:hAnsi="Times New Roman" w:cs="Times New Roman"/>
        </w:rPr>
      </w:pPr>
      <w:r w:rsidRPr="00527B29">
        <w:rPr>
          <w:rFonts w:ascii="Times New Roman" w:hAnsi="Times New Roman" w:cs="Times New Roman"/>
        </w:rPr>
        <w:t xml:space="preserve">f) en el caso de proveedores extranjeros, personas jurídicas, que tengan representante o apoderado en el país, se hará constar el NIT o el número de pasaporte o carnet de residente del representante o apoderado que realiza las operaciones; </w:t>
      </w:r>
    </w:p>
    <w:p w:rsidR="00527B29" w:rsidRPr="00527B29" w:rsidRDefault="00527B29" w:rsidP="0084270B">
      <w:pPr>
        <w:pStyle w:val="Default"/>
        <w:ind w:left="708"/>
        <w:jc w:val="both"/>
        <w:rPr>
          <w:rFonts w:ascii="Times New Roman" w:hAnsi="Times New Roman" w:cs="Times New Roman"/>
        </w:rPr>
      </w:pPr>
      <w:r w:rsidRPr="00527B29">
        <w:rPr>
          <w:rFonts w:ascii="Times New Roman" w:hAnsi="Times New Roman" w:cs="Times New Roman"/>
        </w:rPr>
        <w:t xml:space="preserve">g) en el caso de proveedores extranjeros, personas jurídicas, que no realizan operaciones en el país, bastará con el nombre, razón social o denominación, NIT o registro fiscal de su país de origen que conste en el documento comercial correspondiente. </w:t>
      </w:r>
    </w:p>
    <w:p w:rsidR="00527B29" w:rsidRPr="00527B29" w:rsidRDefault="00527B29" w:rsidP="00527B29">
      <w:pPr>
        <w:pStyle w:val="Default"/>
        <w:jc w:val="both"/>
        <w:rPr>
          <w:rFonts w:ascii="Times New Roman" w:hAnsi="Times New Roman" w:cs="Times New Roman"/>
        </w:rPr>
      </w:pPr>
    </w:p>
    <w:p w:rsidR="004F7F46" w:rsidRPr="004F7F46" w:rsidRDefault="00527B29" w:rsidP="00527B29">
      <w:pPr>
        <w:pStyle w:val="Default"/>
        <w:jc w:val="both"/>
        <w:rPr>
          <w:rFonts w:ascii="Times New Roman" w:hAnsi="Times New Roman" w:cs="Times New Roman"/>
        </w:rPr>
      </w:pPr>
      <w:r w:rsidRPr="00527B29">
        <w:rPr>
          <w:rFonts w:ascii="Times New Roman" w:hAnsi="Times New Roman" w:cs="Times New Roman"/>
        </w:rPr>
        <w:t>Finalmente, de acuerdo con el artículo 135 del Código Tributario, el auditor fiscal debe incluir en su dictamen e informe fiscal, una nota que explique el cumplimiento o incumplimiento por parte del contribuyente de las obligaciones indicadas en los párrafos precedentes.</w:t>
      </w:r>
    </w:p>
    <w:sectPr w:rsidR="004F7F46" w:rsidRPr="004F7F4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Univers 45 Light">
    <w:altName w:val="Univers 45 Light"/>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9E973A8D"/>
    <w:multiLevelType w:val="hybridMultilevel"/>
    <w:tmpl w:val="36B5623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C244757"/>
    <w:multiLevelType w:val="hybridMultilevel"/>
    <w:tmpl w:val="598CCFB6"/>
    <w:lvl w:ilvl="0" w:tplc="440A0017">
      <w:start w:val="1"/>
      <w:numFmt w:val="lowerLetter"/>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
    <w:nsid w:val="3D8429E4"/>
    <w:multiLevelType w:val="hybridMultilevel"/>
    <w:tmpl w:val="F50A860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B94"/>
    <w:rsid w:val="00393DAA"/>
    <w:rsid w:val="003B2232"/>
    <w:rsid w:val="004F7F46"/>
    <w:rsid w:val="00527B29"/>
    <w:rsid w:val="007B0E25"/>
    <w:rsid w:val="00802B94"/>
    <w:rsid w:val="008037E7"/>
    <w:rsid w:val="0084270B"/>
    <w:rsid w:val="00F85B57"/>
    <w:rsid w:val="00FD701C"/>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8756A2-DCCD-417E-9B36-87D6D8B0F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7F46"/>
    <w:pPr>
      <w:spacing w:line="256" w:lineRule="auto"/>
    </w:pPr>
  </w:style>
  <w:style w:type="paragraph" w:styleId="Ttulo1">
    <w:name w:val="heading 1"/>
    <w:basedOn w:val="Normal"/>
    <w:next w:val="Normal"/>
    <w:link w:val="Ttulo1Car"/>
    <w:uiPriority w:val="9"/>
    <w:qFormat/>
    <w:rsid w:val="004F7F4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F7F46"/>
    <w:rPr>
      <w:rFonts w:asciiTheme="majorHAnsi" w:eastAsiaTheme="majorEastAsia" w:hAnsiTheme="majorHAnsi" w:cstheme="majorBidi"/>
      <w:color w:val="2E74B5" w:themeColor="accent1" w:themeShade="BF"/>
      <w:sz w:val="32"/>
      <w:szCs w:val="32"/>
    </w:rPr>
  </w:style>
  <w:style w:type="paragraph" w:customStyle="1" w:styleId="Default">
    <w:name w:val="Default"/>
    <w:rsid w:val="004F7F46"/>
    <w:pPr>
      <w:autoSpaceDE w:val="0"/>
      <w:autoSpaceDN w:val="0"/>
      <w:adjustRightInd w:val="0"/>
      <w:spacing w:after="0" w:line="240" w:lineRule="auto"/>
    </w:pPr>
    <w:rPr>
      <w:rFonts w:ascii="Univers 45 Light" w:hAnsi="Univers 45 Light" w:cs="Univers 45 Light"/>
      <w:color w:val="000000"/>
      <w:sz w:val="24"/>
      <w:szCs w:val="24"/>
    </w:rPr>
  </w:style>
  <w:style w:type="paragraph" w:styleId="Prrafodelista">
    <w:name w:val="List Paragraph"/>
    <w:basedOn w:val="Normal"/>
    <w:uiPriority w:val="34"/>
    <w:qFormat/>
    <w:rsid w:val="00527B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1430</Words>
  <Characters>7871</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Martinez</dc:creator>
  <cp:keywords/>
  <dc:description/>
  <cp:lastModifiedBy>Adriana Martinez</cp:lastModifiedBy>
  <cp:revision>5</cp:revision>
  <dcterms:created xsi:type="dcterms:W3CDTF">2013-10-27T03:03:00Z</dcterms:created>
  <dcterms:modified xsi:type="dcterms:W3CDTF">2013-10-27T03:43:00Z</dcterms:modified>
</cp:coreProperties>
</file>