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2"/>
          <w:szCs w:val="22"/>
          <w:lang w:val="es-SV"/>
        </w:rPr>
        <w:id w:val="1719771"/>
        <w:docPartObj>
          <w:docPartGallery w:val="Table of Contents"/>
          <w:docPartUnique/>
        </w:docPartObj>
      </w:sdtPr>
      <w:sdtContent>
        <w:p w:rsidR="00D02D14" w:rsidRDefault="00380352" w:rsidP="00F96A97">
          <w:pPr>
            <w:pStyle w:val="TOCHeading"/>
            <w:jc w:val="both"/>
          </w:pPr>
          <w:r>
            <w:t>INDICE DEL INFORME DEL AUDITOR INDEPENDIENTE</w:t>
          </w:r>
        </w:p>
        <w:p w:rsidR="00D02D14" w:rsidRPr="00D02D14" w:rsidRDefault="00D02D14" w:rsidP="00F96A97">
          <w:pPr>
            <w:jc w:val="both"/>
            <w:rPr>
              <w:lang w:val="es-ES"/>
            </w:rPr>
          </w:pPr>
        </w:p>
        <w:p w:rsidR="00380352" w:rsidRDefault="00314E04">
          <w:pPr>
            <w:pStyle w:val="TOC1"/>
            <w:tabs>
              <w:tab w:val="right" w:leader="dot" w:pos="8828"/>
            </w:tabs>
            <w:rPr>
              <w:rFonts w:eastAsiaTheme="minorEastAsia"/>
              <w:noProof/>
              <w:lang w:val="es-ES" w:eastAsia="es-ES"/>
            </w:rPr>
          </w:pPr>
          <w:r>
            <w:rPr>
              <w:lang w:val="es-ES"/>
            </w:rPr>
            <w:fldChar w:fldCharType="begin"/>
          </w:r>
          <w:r w:rsidR="00D02D14">
            <w:rPr>
              <w:lang w:val="es-ES"/>
            </w:rPr>
            <w:instrText xml:space="preserve"> TOC \o "1-3" \h \z \u </w:instrText>
          </w:r>
          <w:r>
            <w:rPr>
              <w:lang w:val="es-ES"/>
            </w:rPr>
            <w:fldChar w:fldCharType="separate"/>
          </w:r>
          <w:hyperlink w:anchor="_Toc372969021" w:history="1">
            <w:r w:rsidR="00380352" w:rsidRPr="000E1627">
              <w:rPr>
                <w:rStyle w:val="Hyperlink"/>
                <w:noProof/>
              </w:rPr>
              <w:t>INFORME DEL AUDITOR INDEPENDIENTE</w:t>
            </w:r>
            <w:r w:rsidR="00380352">
              <w:rPr>
                <w:noProof/>
                <w:webHidden/>
              </w:rPr>
              <w:tab/>
            </w:r>
            <w:r>
              <w:rPr>
                <w:noProof/>
                <w:webHidden/>
              </w:rPr>
              <w:fldChar w:fldCharType="begin"/>
            </w:r>
            <w:r w:rsidR="00380352">
              <w:rPr>
                <w:noProof/>
                <w:webHidden/>
              </w:rPr>
              <w:instrText xml:space="preserve"> PAGEREF _Toc372969021 \h </w:instrText>
            </w:r>
            <w:r>
              <w:rPr>
                <w:noProof/>
                <w:webHidden/>
              </w:rPr>
            </w:r>
            <w:r>
              <w:rPr>
                <w:noProof/>
                <w:webHidden/>
              </w:rPr>
              <w:fldChar w:fldCharType="separate"/>
            </w:r>
            <w:r w:rsidR="00380352">
              <w:rPr>
                <w:noProof/>
                <w:webHidden/>
              </w:rPr>
              <w:t>2</w:t>
            </w:r>
            <w:r>
              <w:rPr>
                <w:noProof/>
                <w:webHidden/>
              </w:rPr>
              <w:fldChar w:fldCharType="end"/>
            </w:r>
          </w:hyperlink>
        </w:p>
        <w:p w:rsidR="00380352" w:rsidRDefault="00314E04">
          <w:pPr>
            <w:pStyle w:val="TOC1"/>
            <w:tabs>
              <w:tab w:val="right" w:leader="dot" w:pos="8828"/>
            </w:tabs>
            <w:rPr>
              <w:rFonts w:eastAsiaTheme="minorEastAsia"/>
              <w:noProof/>
              <w:lang w:val="es-ES" w:eastAsia="es-ES"/>
            </w:rPr>
          </w:pPr>
          <w:hyperlink w:anchor="_Toc372969022" w:history="1">
            <w:r w:rsidR="00380352" w:rsidRPr="000E1627">
              <w:rPr>
                <w:rStyle w:val="Hyperlink"/>
                <w:noProof/>
              </w:rPr>
              <w:t>PARRAFO INTRODUCTORIO</w:t>
            </w:r>
            <w:r w:rsidR="00380352">
              <w:rPr>
                <w:noProof/>
                <w:webHidden/>
              </w:rPr>
              <w:tab/>
            </w:r>
            <w:r>
              <w:rPr>
                <w:noProof/>
                <w:webHidden/>
              </w:rPr>
              <w:fldChar w:fldCharType="begin"/>
            </w:r>
            <w:r w:rsidR="00380352">
              <w:rPr>
                <w:noProof/>
                <w:webHidden/>
              </w:rPr>
              <w:instrText xml:space="preserve"> PAGEREF _Toc372969022 \h </w:instrText>
            </w:r>
            <w:r>
              <w:rPr>
                <w:noProof/>
                <w:webHidden/>
              </w:rPr>
            </w:r>
            <w:r>
              <w:rPr>
                <w:noProof/>
                <w:webHidden/>
              </w:rPr>
              <w:fldChar w:fldCharType="separate"/>
            </w:r>
            <w:r w:rsidR="00380352">
              <w:rPr>
                <w:noProof/>
                <w:webHidden/>
              </w:rPr>
              <w:t>2</w:t>
            </w:r>
            <w:r>
              <w:rPr>
                <w:noProof/>
                <w:webHidden/>
              </w:rPr>
              <w:fldChar w:fldCharType="end"/>
            </w:r>
          </w:hyperlink>
        </w:p>
        <w:p w:rsidR="00380352" w:rsidRDefault="00314E04">
          <w:pPr>
            <w:pStyle w:val="TOC1"/>
            <w:tabs>
              <w:tab w:val="left" w:pos="440"/>
              <w:tab w:val="right" w:leader="dot" w:pos="8828"/>
            </w:tabs>
            <w:rPr>
              <w:rFonts w:eastAsiaTheme="minorEastAsia"/>
              <w:noProof/>
              <w:lang w:val="es-ES" w:eastAsia="es-ES"/>
            </w:rPr>
          </w:pPr>
          <w:hyperlink w:anchor="_Toc372969023" w:history="1">
            <w:r w:rsidR="00380352" w:rsidRPr="000E1627">
              <w:rPr>
                <w:rStyle w:val="Hyperlink"/>
                <w:noProof/>
              </w:rPr>
              <w:t>I.</w:t>
            </w:r>
            <w:r w:rsidR="00380352">
              <w:rPr>
                <w:rFonts w:eastAsiaTheme="minorEastAsia"/>
                <w:noProof/>
                <w:lang w:val="es-ES" w:eastAsia="es-ES"/>
              </w:rPr>
              <w:tab/>
            </w:r>
            <w:r w:rsidR="00380352" w:rsidRPr="000E1627">
              <w:rPr>
                <w:rStyle w:val="Hyperlink"/>
                <w:noProof/>
              </w:rPr>
              <w:t>Objetivo de la auditoria</w:t>
            </w:r>
            <w:r w:rsidR="00380352">
              <w:rPr>
                <w:noProof/>
                <w:webHidden/>
              </w:rPr>
              <w:tab/>
            </w:r>
            <w:r>
              <w:rPr>
                <w:noProof/>
                <w:webHidden/>
              </w:rPr>
              <w:fldChar w:fldCharType="begin"/>
            </w:r>
            <w:r w:rsidR="00380352">
              <w:rPr>
                <w:noProof/>
                <w:webHidden/>
              </w:rPr>
              <w:instrText xml:space="preserve"> PAGEREF _Toc372969023 \h </w:instrText>
            </w:r>
            <w:r>
              <w:rPr>
                <w:noProof/>
                <w:webHidden/>
              </w:rPr>
            </w:r>
            <w:r>
              <w:rPr>
                <w:noProof/>
                <w:webHidden/>
              </w:rPr>
              <w:fldChar w:fldCharType="separate"/>
            </w:r>
            <w:r w:rsidR="00380352">
              <w:rPr>
                <w:noProof/>
                <w:webHidden/>
              </w:rPr>
              <w:t>2</w:t>
            </w:r>
            <w:r>
              <w:rPr>
                <w:noProof/>
                <w:webHidden/>
              </w:rPr>
              <w:fldChar w:fldCharType="end"/>
            </w:r>
          </w:hyperlink>
        </w:p>
        <w:p w:rsidR="00380352" w:rsidRDefault="00314E04">
          <w:pPr>
            <w:pStyle w:val="TOC1"/>
            <w:tabs>
              <w:tab w:val="left" w:pos="440"/>
              <w:tab w:val="right" w:leader="dot" w:pos="8828"/>
            </w:tabs>
            <w:rPr>
              <w:rFonts w:eastAsiaTheme="minorEastAsia"/>
              <w:noProof/>
              <w:lang w:val="es-ES" w:eastAsia="es-ES"/>
            </w:rPr>
          </w:pPr>
          <w:hyperlink w:anchor="_Toc372969024" w:history="1">
            <w:r w:rsidR="00380352" w:rsidRPr="000E1627">
              <w:rPr>
                <w:rStyle w:val="Hyperlink"/>
                <w:noProof/>
              </w:rPr>
              <w:t>II.</w:t>
            </w:r>
            <w:r w:rsidR="00380352">
              <w:rPr>
                <w:rFonts w:eastAsiaTheme="minorEastAsia"/>
                <w:noProof/>
                <w:lang w:val="es-ES" w:eastAsia="es-ES"/>
              </w:rPr>
              <w:tab/>
            </w:r>
            <w:r w:rsidR="00380352" w:rsidRPr="000E1627">
              <w:rPr>
                <w:rStyle w:val="Hyperlink"/>
                <w:noProof/>
              </w:rPr>
              <w:t>Antecedentes de las empresas</w:t>
            </w:r>
            <w:r w:rsidR="00380352">
              <w:rPr>
                <w:noProof/>
                <w:webHidden/>
              </w:rPr>
              <w:tab/>
            </w:r>
            <w:r>
              <w:rPr>
                <w:noProof/>
                <w:webHidden/>
              </w:rPr>
              <w:fldChar w:fldCharType="begin"/>
            </w:r>
            <w:r w:rsidR="00380352">
              <w:rPr>
                <w:noProof/>
                <w:webHidden/>
              </w:rPr>
              <w:instrText xml:space="preserve"> PAGEREF _Toc372969024 \h </w:instrText>
            </w:r>
            <w:r>
              <w:rPr>
                <w:noProof/>
                <w:webHidden/>
              </w:rPr>
            </w:r>
            <w:r>
              <w:rPr>
                <w:noProof/>
                <w:webHidden/>
              </w:rPr>
              <w:fldChar w:fldCharType="separate"/>
            </w:r>
            <w:r w:rsidR="00380352">
              <w:rPr>
                <w:noProof/>
                <w:webHidden/>
              </w:rPr>
              <w:t>3</w:t>
            </w:r>
            <w:r>
              <w:rPr>
                <w:noProof/>
                <w:webHidden/>
              </w:rPr>
              <w:fldChar w:fldCharType="end"/>
            </w:r>
          </w:hyperlink>
        </w:p>
        <w:p w:rsidR="00380352" w:rsidRDefault="00314E04">
          <w:pPr>
            <w:pStyle w:val="TOC3"/>
            <w:tabs>
              <w:tab w:val="left" w:pos="880"/>
              <w:tab w:val="right" w:leader="dot" w:pos="8828"/>
            </w:tabs>
            <w:rPr>
              <w:rFonts w:eastAsiaTheme="minorEastAsia"/>
              <w:noProof/>
              <w:lang w:val="es-ES" w:eastAsia="es-ES"/>
            </w:rPr>
          </w:pPr>
          <w:hyperlink w:anchor="_Toc372969025" w:history="1">
            <w:r w:rsidR="00380352" w:rsidRPr="000E1627">
              <w:rPr>
                <w:rStyle w:val="Hyperlink"/>
                <w:noProof/>
              </w:rPr>
              <w:t>1.</w:t>
            </w:r>
            <w:r w:rsidR="00380352">
              <w:rPr>
                <w:rFonts w:eastAsiaTheme="minorEastAsia"/>
                <w:noProof/>
                <w:lang w:val="es-ES" w:eastAsia="es-ES"/>
              </w:rPr>
              <w:tab/>
            </w:r>
            <w:r w:rsidR="00380352" w:rsidRPr="000E1627">
              <w:rPr>
                <w:rStyle w:val="Hyperlink"/>
                <w:noProof/>
              </w:rPr>
              <w:t>El Delfín S.A. de C.V.</w:t>
            </w:r>
            <w:r w:rsidR="00380352">
              <w:rPr>
                <w:noProof/>
                <w:webHidden/>
              </w:rPr>
              <w:tab/>
            </w:r>
            <w:r>
              <w:rPr>
                <w:noProof/>
                <w:webHidden/>
              </w:rPr>
              <w:fldChar w:fldCharType="begin"/>
            </w:r>
            <w:r w:rsidR="00380352">
              <w:rPr>
                <w:noProof/>
                <w:webHidden/>
              </w:rPr>
              <w:instrText xml:space="preserve"> PAGEREF _Toc372969025 \h </w:instrText>
            </w:r>
            <w:r>
              <w:rPr>
                <w:noProof/>
                <w:webHidden/>
              </w:rPr>
            </w:r>
            <w:r>
              <w:rPr>
                <w:noProof/>
                <w:webHidden/>
              </w:rPr>
              <w:fldChar w:fldCharType="separate"/>
            </w:r>
            <w:r w:rsidR="00380352">
              <w:rPr>
                <w:noProof/>
                <w:webHidden/>
              </w:rPr>
              <w:t>3</w:t>
            </w:r>
            <w:r>
              <w:rPr>
                <w:noProof/>
                <w:webHidden/>
              </w:rPr>
              <w:fldChar w:fldCharType="end"/>
            </w:r>
          </w:hyperlink>
        </w:p>
        <w:p w:rsidR="00380352" w:rsidRDefault="00314E04">
          <w:pPr>
            <w:pStyle w:val="TOC3"/>
            <w:tabs>
              <w:tab w:val="left" w:pos="880"/>
              <w:tab w:val="right" w:leader="dot" w:pos="8828"/>
            </w:tabs>
            <w:rPr>
              <w:rFonts w:eastAsiaTheme="minorEastAsia"/>
              <w:noProof/>
              <w:lang w:val="es-ES" w:eastAsia="es-ES"/>
            </w:rPr>
          </w:pPr>
          <w:hyperlink w:anchor="_Toc372969026" w:history="1">
            <w:r w:rsidR="00380352" w:rsidRPr="000E1627">
              <w:rPr>
                <w:rStyle w:val="Hyperlink"/>
                <w:noProof/>
              </w:rPr>
              <w:t>2.</w:t>
            </w:r>
            <w:r w:rsidR="00380352">
              <w:rPr>
                <w:rFonts w:eastAsiaTheme="minorEastAsia"/>
                <w:noProof/>
                <w:lang w:val="es-ES" w:eastAsia="es-ES"/>
              </w:rPr>
              <w:tab/>
            </w:r>
            <w:r w:rsidR="00380352" w:rsidRPr="000E1627">
              <w:rPr>
                <w:rStyle w:val="Hyperlink"/>
                <w:noProof/>
              </w:rPr>
              <w:t>Atlantic  S.A. de C.V.</w:t>
            </w:r>
            <w:r w:rsidR="00380352">
              <w:rPr>
                <w:noProof/>
                <w:webHidden/>
              </w:rPr>
              <w:tab/>
            </w:r>
            <w:r>
              <w:rPr>
                <w:noProof/>
                <w:webHidden/>
              </w:rPr>
              <w:fldChar w:fldCharType="begin"/>
            </w:r>
            <w:r w:rsidR="00380352">
              <w:rPr>
                <w:noProof/>
                <w:webHidden/>
              </w:rPr>
              <w:instrText xml:space="preserve"> PAGEREF _Toc372969026 \h </w:instrText>
            </w:r>
            <w:r>
              <w:rPr>
                <w:noProof/>
                <w:webHidden/>
              </w:rPr>
            </w:r>
            <w:r>
              <w:rPr>
                <w:noProof/>
                <w:webHidden/>
              </w:rPr>
              <w:fldChar w:fldCharType="separate"/>
            </w:r>
            <w:r w:rsidR="00380352">
              <w:rPr>
                <w:noProof/>
                <w:webHidden/>
              </w:rPr>
              <w:t>3</w:t>
            </w:r>
            <w:r>
              <w:rPr>
                <w:noProof/>
                <w:webHidden/>
              </w:rPr>
              <w:fldChar w:fldCharType="end"/>
            </w:r>
          </w:hyperlink>
        </w:p>
        <w:p w:rsidR="00380352" w:rsidRDefault="00314E04">
          <w:pPr>
            <w:pStyle w:val="TOC3"/>
            <w:tabs>
              <w:tab w:val="left" w:pos="880"/>
              <w:tab w:val="right" w:leader="dot" w:pos="8828"/>
            </w:tabs>
            <w:rPr>
              <w:rFonts w:eastAsiaTheme="minorEastAsia"/>
              <w:noProof/>
              <w:lang w:val="es-ES" w:eastAsia="es-ES"/>
            </w:rPr>
          </w:pPr>
          <w:hyperlink w:anchor="_Toc372969027" w:history="1">
            <w:r w:rsidR="00380352" w:rsidRPr="000E1627">
              <w:rPr>
                <w:rStyle w:val="Hyperlink"/>
                <w:noProof/>
              </w:rPr>
              <w:t>3.</w:t>
            </w:r>
            <w:r w:rsidR="00380352">
              <w:rPr>
                <w:rFonts w:eastAsiaTheme="minorEastAsia"/>
                <w:noProof/>
                <w:lang w:val="es-ES" w:eastAsia="es-ES"/>
              </w:rPr>
              <w:tab/>
            </w:r>
            <w:r w:rsidR="00380352" w:rsidRPr="000E1627">
              <w:rPr>
                <w:rStyle w:val="Hyperlink"/>
                <w:noProof/>
              </w:rPr>
              <w:t>Cementerio El Naufragio S.A. de C.V.</w:t>
            </w:r>
            <w:r w:rsidR="00380352">
              <w:rPr>
                <w:noProof/>
                <w:webHidden/>
              </w:rPr>
              <w:tab/>
            </w:r>
            <w:r>
              <w:rPr>
                <w:noProof/>
                <w:webHidden/>
              </w:rPr>
              <w:fldChar w:fldCharType="begin"/>
            </w:r>
            <w:r w:rsidR="00380352">
              <w:rPr>
                <w:noProof/>
                <w:webHidden/>
              </w:rPr>
              <w:instrText xml:space="preserve"> PAGEREF _Toc372969027 \h </w:instrText>
            </w:r>
            <w:r>
              <w:rPr>
                <w:noProof/>
                <w:webHidden/>
              </w:rPr>
            </w:r>
            <w:r>
              <w:rPr>
                <w:noProof/>
                <w:webHidden/>
              </w:rPr>
              <w:fldChar w:fldCharType="separate"/>
            </w:r>
            <w:r w:rsidR="00380352">
              <w:rPr>
                <w:noProof/>
                <w:webHidden/>
              </w:rPr>
              <w:t>3</w:t>
            </w:r>
            <w:r>
              <w:rPr>
                <w:noProof/>
                <w:webHidden/>
              </w:rPr>
              <w:fldChar w:fldCharType="end"/>
            </w:r>
          </w:hyperlink>
        </w:p>
        <w:p w:rsidR="00380352" w:rsidRDefault="00314E04">
          <w:pPr>
            <w:pStyle w:val="TOC1"/>
            <w:tabs>
              <w:tab w:val="left" w:pos="660"/>
              <w:tab w:val="right" w:leader="dot" w:pos="8828"/>
            </w:tabs>
            <w:rPr>
              <w:rFonts w:eastAsiaTheme="minorEastAsia"/>
              <w:noProof/>
              <w:lang w:val="es-ES" w:eastAsia="es-ES"/>
            </w:rPr>
          </w:pPr>
          <w:hyperlink w:anchor="_Toc372969028" w:history="1">
            <w:r w:rsidR="00380352" w:rsidRPr="000E1627">
              <w:rPr>
                <w:rStyle w:val="Hyperlink"/>
                <w:noProof/>
              </w:rPr>
              <w:t>III.</w:t>
            </w:r>
            <w:r w:rsidR="00380352">
              <w:rPr>
                <w:rFonts w:eastAsiaTheme="minorEastAsia"/>
                <w:noProof/>
                <w:lang w:val="es-ES" w:eastAsia="es-ES"/>
              </w:rPr>
              <w:tab/>
            </w:r>
            <w:r w:rsidR="00380352" w:rsidRPr="000E1627">
              <w:rPr>
                <w:rStyle w:val="Hyperlink"/>
                <w:noProof/>
              </w:rPr>
              <w:t>Alcance del trabajo realizado</w:t>
            </w:r>
            <w:r w:rsidR="00380352">
              <w:rPr>
                <w:noProof/>
                <w:webHidden/>
              </w:rPr>
              <w:tab/>
            </w:r>
            <w:r>
              <w:rPr>
                <w:noProof/>
                <w:webHidden/>
              </w:rPr>
              <w:fldChar w:fldCharType="begin"/>
            </w:r>
            <w:r w:rsidR="00380352">
              <w:rPr>
                <w:noProof/>
                <w:webHidden/>
              </w:rPr>
              <w:instrText xml:space="preserve"> PAGEREF _Toc372969028 \h </w:instrText>
            </w:r>
            <w:r>
              <w:rPr>
                <w:noProof/>
                <w:webHidden/>
              </w:rPr>
            </w:r>
            <w:r>
              <w:rPr>
                <w:noProof/>
                <w:webHidden/>
              </w:rPr>
              <w:fldChar w:fldCharType="separate"/>
            </w:r>
            <w:r w:rsidR="00380352">
              <w:rPr>
                <w:noProof/>
                <w:webHidden/>
              </w:rPr>
              <w:t>4</w:t>
            </w:r>
            <w:r>
              <w:rPr>
                <w:noProof/>
                <w:webHidden/>
              </w:rPr>
              <w:fldChar w:fldCharType="end"/>
            </w:r>
          </w:hyperlink>
        </w:p>
        <w:p w:rsidR="00380352" w:rsidRDefault="00314E04">
          <w:pPr>
            <w:pStyle w:val="TOC2"/>
            <w:tabs>
              <w:tab w:val="left" w:pos="660"/>
              <w:tab w:val="right" w:leader="dot" w:pos="8828"/>
            </w:tabs>
            <w:rPr>
              <w:rFonts w:eastAsiaTheme="minorEastAsia"/>
              <w:noProof/>
              <w:lang w:val="es-ES" w:eastAsia="es-ES"/>
            </w:rPr>
          </w:pPr>
          <w:hyperlink w:anchor="_Toc372969029" w:history="1">
            <w:r w:rsidR="00380352" w:rsidRPr="000E1627">
              <w:rPr>
                <w:rStyle w:val="Hyperlink"/>
                <w:noProof/>
              </w:rPr>
              <w:t>1.</w:t>
            </w:r>
            <w:r w:rsidR="00380352">
              <w:rPr>
                <w:rFonts w:eastAsiaTheme="minorEastAsia"/>
                <w:noProof/>
                <w:lang w:val="es-ES" w:eastAsia="es-ES"/>
              </w:rPr>
              <w:tab/>
            </w:r>
            <w:r w:rsidR="00380352" w:rsidRPr="000E1627">
              <w:rPr>
                <w:rStyle w:val="Hyperlink"/>
                <w:noProof/>
              </w:rPr>
              <w:t>Actividades previas</w:t>
            </w:r>
            <w:r w:rsidR="00380352">
              <w:rPr>
                <w:noProof/>
                <w:webHidden/>
              </w:rPr>
              <w:tab/>
            </w:r>
            <w:r>
              <w:rPr>
                <w:noProof/>
                <w:webHidden/>
              </w:rPr>
              <w:fldChar w:fldCharType="begin"/>
            </w:r>
            <w:r w:rsidR="00380352">
              <w:rPr>
                <w:noProof/>
                <w:webHidden/>
              </w:rPr>
              <w:instrText xml:space="preserve"> PAGEREF _Toc372969029 \h </w:instrText>
            </w:r>
            <w:r>
              <w:rPr>
                <w:noProof/>
                <w:webHidden/>
              </w:rPr>
            </w:r>
            <w:r>
              <w:rPr>
                <w:noProof/>
                <w:webHidden/>
              </w:rPr>
              <w:fldChar w:fldCharType="separate"/>
            </w:r>
            <w:r w:rsidR="00380352">
              <w:rPr>
                <w:noProof/>
                <w:webHidden/>
              </w:rPr>
              <w:t>4</w:t>
            </w:r>
            <w:r>
              <w:rPr>
                <w:noProof/>
                <w:webHidden/>
              </w:rPr>
              <w:fldChar w:fldCharType="end"/>
            </w:r>
          </w:hyperlink>
        </w:p>
        <w:p w:rsidR="00380352" w:rsidRDefault="00314E04">
          <w:pPr>
            <w:pStyle w:val="TOC2"/>
            <w:tabs>
              <w:tab w:val="left" w:pos="660"/>
              <w:tab w:val="right" w:leader="dot" w:pos="8828"/>
            </w:tabs>
            <w:rPr>
              <w:rFonts w:eastAsiaTheme="minorEastAsia"/>
              <w:noProof/>
              <w:lang w:val="es-ES" w:eastAsia="es-ES"/>
            </w:rPr>
          </w:pPr>
          <w:hyperlink w:anchor="_Toc372969030" w:history="1">
            <w:r w:rsidR="00380352" w:rsidRPr="000E1627">
              <w:rPr>
                <w:rStyle w:val="Hyperlink"/>
                <w:noProof/>
              </w:rPr>
              <w:t>2.</w:t>
            </w:r>
            <w:r w:rsidR="00380352">
              <w:rPr>
                <w:rFonts w:eastAsiaTheme="minorEastAsia"/>
                <w:noProof/>
                <w:lang w:val="es-ES" w:eastAsia="es-ES"/>
              </w:rPr>
              <w:tab/>
            </w:r>
            <w:r w:rsidR="00380352" w:rsidRPr="000E1627">
              <w:rPr>
                <w:rStyle w:val="Hyperlink"/>
                <w:noProof/>
              </w:rPr>
              <w:t>Aspectos formales y contractuales</w:t>
            </w:r>
            <w:r w:rsidR="00380352">
              <w:rPr>
                <w:noProof/>
                <w:webHidden/>
              </w:rPr>
              <w:tab/>
            </w:r>
            <w:r>
              <w:rPr>
                <w:noProof/>
                <w:webHidden/>
              </w:rPr>
              <w:fldChar w:fldCharType="begin"/>
            </w:r>
            <w:r w:rsidR="00380352">
              <w:rPr>
                <w:noProof/>
                <w:webHidden/>
              </w:rPr>
              <w:instrText xml:space="preserve"> PAGEREF _Toc372969030 \h </w:instrText>
            </w:r>
            <w:r>
              <w:rPr>
                <w:noProof/>
                <w:webHidden/>
              </w:rPr>
            </w:r>
            <w:r>
              <w:rPr>
                <w:noProof/>
                <w:webHidden/>
              </w:rPr>
              <w:fldChar w:fldCharType="separate"/>
            </w:r>
            <w:r w:rsidR="00380352">
              <w:rPr>
                <w:noProof/>
                <w:webHidden/>
              </w:rPr>
              <w:t>4</w:t>
            </w:r>
            <w:r>
              <w:rPr>
                <w:noProof/>
                <w:webHidden/>
              </w:rPr>
              <w:fldChar w:fldCharType="end"/>
            </w:r>
          </w:hyperlink>
        </w:p>
        <w:p w:rsidR="00380352" w:rsidRDefault="00314E04">
          <w:pPr>
            <w:pStyle w:val="TOC2"/>
            <w:tabs>
              <w:tab w:val="left" w:pos="660"/>
              <w:tab w:val="right" w:leader="dot" w:pos="8828"/>
            </w:tabs>
            <w:rPr>
              <w:rFonts w:eastAsiaTheme="minorEastAsia"/>
              <w:noProof/>
              <w:lang w:val="es-ES" w:eastAsia="es-ES"/>
            </w:rPr>
          </w:pPr>
          <w:hyperlink w:anchor="_Toc372969031" w:history="1">
            <w:r w:rsidR="00380352" w:rsidRPr="000E1627">
              <w:rPr>
                <w:rStyle w:val="Hyperlink"/>
                <w:noProof/>
              </w:rPr>
              <w:t>3.</w:t>
            </w:r>
            <w:r w:rsidR="00380352">
              <w:rPr>
                <w:rFonts w:eastAsiaTheme="minorEastAsia"/>
                <w:noProof/>
                <w:lang w:val="es-ES" w:eastAsia="es-ES"/>
              </w:rPr>
              <w:tab/>
            </w:r>
            <w:r w:rsidR="00380352" w:rsidRPr="000E1627">
              <w:rPr>
                <w:rStyle w:val="Hyperlink"/>
                <w:noProof/>
              </w:rPr>
              <w:t>Procedimientos de auditoría aplicados</w:t>
            </w:r>
            <w:r w:rsidR="00380352">
              <w:rPr>
                <w:noProof/>
                <w:webHidden/>
              </w:rPr>
              <w:tab/>
            </w:r>
            <w:r>
              <w:rPr>
                <w:noProof/>
                <w:webHidden/>
              </w:rPr>
              <w:fldChar w:fldCharType="begin"/>
            </w:r>
            <w:r w:rsidR="00380352">
              <w:rPr>
                <w:noProof/>
                <w:webHidden/>
              </w:rPr>
              <w:instrText xml:space="preserve"> PAGEREF _Toc372969031 \h </w:instrText>
            </w:r>
            <w:r>
              <w:rPr>
                <w:noProof/>
                <w:webHidden/>
              </w:rPr>
            </w:r>
            <w:r>
              <w:rPr>
                <w:noProof/>
                <w:webHidden/>
              </w:rPr>
              <w:fldChar w:fldCharType="separate"/>
            </w:r>
            <w:r w:rsidR="00380352">
              <w:rPr>
                <w:noProof/>
                <w:webHidden/>
              </w:rPr>
              <w:t>6</w:t>
            </w:r>
            <w:r>
              <w:rPr>
                <w:noProof/>
                <w:webHidden/>
              </w:rPr>
              <w:fldChar w:fldCharType="end"/>
            </w:r>
          </w:hyperlink>
        </w:p>
        <w:p w:rsidR="00380352" w:rsidRDefault="00314E04">
          <w:pPr>
            <w:pStyle w:val="TOC1"/>
            <w:tabs>
              <w:tab w:val="left" w:pos="660"/>
              <w:tab w:val="right" w:leader="dot" w:pos="8828"/>
            </w:tabs>
            <w:rPr>
              <w:rFonts w:eastAsiaTheme="minorEastAsia"/>
              <w:noProof/>
              <w:lang w:val="es-ES" w:eastAsia="es-ES"/>
            </w:rPr>
          </w:pPr>
          <w:hyperlink w:anchor="_Toc372969032" w:history="1">
            <w:r w:rsidR="00380352" w:rsidRPr="000E1627">
              <w:rPr>
                <w:rStyle w:val="Hyperlink"/>
                <w:noProof/>
              </w:rPr>
              <w:t>IV.</w:t>
            </w:r>
            <w:r w:rsidR="00380352">
              <w:rPr>
                <w:rFonts w:eastAsiaTheme="minorEastAsia"/>
                <w:noProof/>
                <w:lang w:val="es-ES" w:eastAsia="es-ES"/>
              </w:rPr>
              <w:tab/>
            </w:r>
            <w:r w:rsidR="00380352" w:rsidRPr="000E1627">
              <w:rPr>
                <w:rStyle w:val="Hyperlink"/>
                <w:noProof/>
              </w:rPr>
              <w:t>Conclusiones</w:t>
            </w:r>
            <w:r w:rsidR="00380352">
              <w:rPr>
                <w:noProof/>
                <w:webHidden/>
              </w:rPr>
              <w:tab/>
            </w:r>
            <w:r>
              <w:rPr>
                <w:noProof/>
                <w:webHidden/>
              </w:rPr>
              <w:fldChar w:fldCharType="begin"/>
            </w:r>
            <w:r w:rsidR="00380352">
              <w:rPr>
                <w:noProof/>
                <w:webHidden/>
              </w:rPr>
              <w:instrText xml:space="preserve"> PAGEREF _Toc372969032 \h </w:instrText>
            </w:r>
            <w:r>
              <w:rPr>
                <w:noProof/>
                <w:webHidden/>
              </w:rPr>
            </w:r>
            <w:r>
              <w:rPr>
                <w:noProof/>
                <w:webHidden/>
              </w:rPr>
              <w:fldChar w:fldCharType="separate"/>
            </w:r>
            <w:r w:rsidR="00380352">
              <w:rPr>
                <w:noProof/>
                <w:webHidden/>
              </w:rPr>
              <w:t>7</w:t>
            </w:r>
            <w:r>
              <w:rPr>
                <w:noProof/>
                <w:webHidden/>
              </w:rPr>
              <w:fldChar w:fldCharType="end"/>
            </w:r>
          </w:hyperlink>
        </w:p>
        <w:p w:rsidR="00D02D14" w:rsidRDefault="00314E04" w:rsidP="00F96A97">
          <w:pPr>
            <w:jc w:val="both"/>
            <w:rPr>
              <w:lang w:val="es-ES"/>
            </w:rPr>
          </w:pPr>
          <w:r>
            <w:rPr>
              <w:lang w:val="es-ES"/>
            </w:rPr>
            <w:fldChar w:fldCharType="end"/>
          </w:r>
        </w:p>
      </w:sdtContent>
    </w:sdt>
    <w:p w:rsidR="00D02D14" w:rsidRDefault="00D02D14" w:rsidP="00F96A97">
      <w:pPr>
        <w:pStyle w:val="Heading1"/>
        <w:jc w:val="both"/>
        <w:sectPr w:rsidR="00D02D14" w:rsidSect="00D02D14">
          <w:pgSz w:w="12240" w:h="15840"/>
          <w:pgMar w:top="1417" w:right="1701" w:bottom="1417" w:left="1701" w:header="708" w:footer="708" w:gutter="0"/>
          <w:cols w:space="708"/>
          <w:docGrid w:linePitch="360"/>
        </w:sectPr>
      </w:pPr>
    </w:p>
    <w:p w:rsidR="00D77B5F" w:rsidRDefault="00D77B5F" w:rsidP="00F96A97">
      <w:pPr>
        <w:pStyle w:val="Heading1"/>
        <w:jc w:val="both"/>
      </w:pPr>
      <w:bookmarkStart w:id="0" w:name="_Toc372969021"/>
      <w:r>
        <w:lastRenderedPageBreak/>
        <w:t>INFORME DEL AUDITOR INDEPENDIENTE</w:t>
      </w:r>
      <w:bookmarkEnd w:id="0"/>
    </w:p>
    <w:p w:rsidR="00D77B5F" w:rsidRDefault="00937B3C" w:rsidP="00F96A97">
      <w:pPr>
        <w:pStyle w:val="Heading1"/>
        <w:jc w:val="both"/>
      </w:pPr>
      <w:bookmarkStart w:id="1" w:name="_Toc372969022"/>
      <w:r>
        <w:t>PÁ</w:t>
      </w:r>
      <w:r w:rsidR="00D77B5F">
        <w:t>RRAFO INTRODUCTORIO</w:t>
      </w:r>
      <w:bookmarkEnd w:id="1"/>
    </w:p>
    <w:p w:rsidR="00D02D14" w:rsidRDefault="00D02D14" w:rsidP="00F96A97">
      <w:pPr>
        <w:jc w:val="both"/>
      </w:pPr>
    </w:p>
    <w:p w:rsidR="00D02D14" w:rsidRDefault="00D02D14" w:rsidP="00F96A97">
      <w:pPr>
        <w:spacing w:after="0"/>
        <w:jc w:val="both"/>
      </w:pPr>
      <w:r>
        <w:t xml:space="preserve">SEÑOR </w:t>
      </w:r>
    </w:p>
    <w:p w:rsidR="00D02D14" w:rsidRDefault="00D02D14" w:rsidP="00F96A97">
      <w:pPr>
        <w:spacing w:after="0"/>
        <w:jc w:val="both"/>
      </w:pPr>
      <w:r>
        <w:t>Juez Cuarto de instrucción</w:t>
      </w:r>
    </w:p>
    <w:p w:rsidR="00D02D14" w:rsidRDefault="00D02D14" w:rsidP="00F96A97">
      <w:pPr>
        <w:spacing w:after="0"/>
        <w:jc w:val="both"/>
      </w:pPr>
    </w:p>
    <w:p w:rsidR="00693F9C" w:rsidRDefault="00D02D14" w:rsidP="00F96A97">
      <w:pPr>
        <w:spacing w:after="0" w:line="360" w:lineRule="auto"/>
        <w:jc w:val="both"/>
      </w:pPr>
      <w:r>
        <w:t>Nosotras</w:t>
      </w:r>
      <w:r w:rsidR="00F243C0">
        <w:t>,</w:t>
      </w:r>
      <w:r>
        <w:t xml:space="preserve"> </w:t>
      </w:r>
      <w:proofErr w:type="spellStart"/>
      <w:r>
        <w:t>Iliana</w:t>
      </w:r>
      <w:proofErr w:type="spellEnd"/>
      <w:r>
        <w:t xml:space="preserve"> Elizabeth Molina, mayor de edad, de este domicilio, licenciada en contaduría pública</w:t>
      </w:r>
      <w:r w:rsidR="00F243C0">
        <w:t>,</w:t>
      </w:r>
      <w:r>
        <w:t xml:space="preserve"> con Inscripción en el Consejo de Vigilancia de la Profesión de Contaduría </w:t>
      </w:r>
      <w:r w:rsidR="002323DE">
        <w:t>Pública</w:t>
      </w:r>
      <w:r>
        <w:t xml:space="preserve"> </w:t>
      </w:r>
      <w:r w:rsidR="002323DE">
        <w:t xml:space="preserve">y auditoria N° 777, y Milagro del Carmen Vásquez, mayor de edad , de este domicilio, licenciada en contaduría pública, con inscripción ante el Consejo de Vigilancia de Contaduría Pública y auditoria N° 123; </w:t>
      </w:r>
      <w:r w:rsidR="002323DE" w:rsidRPr="00B5759C">
        <w:rPr>
          <w:highlight w:val="lightGray"/>
        </w:rPr>
        <w:t xml:space="preserve">habiendo sido juramentadas como peritos  para proceder legalmente en </w:t>
      </w:r>
      <w:r w:rsidR="00642FB2" w:rsidRPr="00B5759C">
        <w:rPr>
          <w:highlight w:val="lightGray"/>
        </w:rPr>
        <w:t>el caso</w:t>
      </w:r>
      <w:r w:rsidR="002323DE" w:rsidRPr="00B5759C">
        <w:rPr>
          <w:highlight w:val="lightGray"/>
        </w:rPr>
        <w:t xml:space="preserve"> N° 0714, a fin de practicar auditoría contable en la documentación secuestrada de la empresa </w:t>
      </w:r>
      <w:proofErr w:type="spellStart"/>
      <w:r w:rsidR="002323DE" w:rsidRPr="00B5759C">
        <w:rPr>
          <w:highlight w:val="lightGray"/>
        </w:rPr>
        <w:t>Atlantic</w:t>
      </w:r>
      <w:proofErr w:type="spellEnd"/>
      <w:r w:rsidR="00690713" w:rsidRPr="00B5759C">
        <w:rPr>
          <w:highlight w:val="lightGray"/>
        </w:rPr>
        <w:t>,</w:t>
      </w:r>
      <w:r w:rsidR="002323DE" w:rsidRPr="00B5759C">
        <w:rPr>
          <w:highlight w:val="lightGray"/>
        </w:rPr>
        <w:t xml:space="preserve"> S.A. de C.V. y documentos d</w:t>
      </w:r>
      <w:r w:rsidR="00690713" w:rsidRPr="00B5759C">
        <w:rPr>
          <w:highlight w:val="lightGray"/>
        </w:rPr>
        <w:t>e</w:t>
      </w:r>
      <w:r w:rsidR="002323DE" w:rsidRPr="00B5759C">
        <w:rPr>
          <w:highlight w:val="lightGray"/>
        </w:rPr>
        <w:t xml:space="preserve"> la sociedad El Delfín</w:t>
      </w:r>
      <w:r w:rsidR="00690713" w:rsidRPr="00B5759C">
        <w:rPr>
          <w:highlight w:val="lightGray"/>
        </w:rPr>
        <w:t>,</w:t>
      </w:r>
      <w:r w:rsidR="002323DE" w:rsidRPr="00B5759C">
        <w:rPr>
          <w:highlight w:val="lightGray"/>
        </w:rPr>
        <w:t xml:space="preserve"> S.A. de C.V. por el periodo comprendido entre el mes de julio de 1996 al 31 de diciembre de 2001</w:t>
      </w:r>
      <w:r w:rsidR="00B5759C" w:rsidRPr="00B5759C">
        <w:rPr>
          <w:highlight w:val="lightGray"/>
        </w:rPr>
        <w:t>. P</w:t>
      </w:r>
      <w:r w:rsidR="002323DE" w:rsidRPr="00B5759C">
        <w:rPr>
          <w:highlight w:val="lightGray"/>
        </w:rPr>
        <w:t xml:space="preserve">or el juicio que se ventila en este juzgado en contra de los señores Isaac </w:t>
      </w:r>
      <w:proofErr w:type="spellStart"/>
      <w:r w:rsidR="002323DE" w:rsidRPr="00B5759C">
        <w:rPr>
          <w:highlight w:val="lightGray"/>
        </w:rPr>
        <w:t>Nathan</w:t>
      </w:r>
      <w:proofErr w:type="spellEnd"/>
      <w:r w:rsidR="002323DE" w:rsidRPr="00B5759C">
        <w:rPr>
          <w:highlight w:val="lightGray"/>
        </w:rPr>
        <w:t xml:space="preserve"> Callejas Guzmán, Juan Ramón Gonzales Torres, Alberto Genaro Mira, Luis Venegas Quintanilla  por los delitos de administración y de falsedad ideológica, apropiación indebida y falsedad material, en perjuicio patrimonial en contra de la sociedad El Delfín S.A de C.V.</w:t>
      </w:r>
      <w:r w:rsidR="00693F9C" w:rsidRPr="00B5759C">
        <w:rPr>
          <w:highlight w:val="lightGray"/>
        </w:rPr>
        <w:t xml:space="preserve"> exponemos lo siguiente:</w:t>
      </w:r>
    </w:p>
    <w:p w:rsidR="00D77B5F" w:rsidRDefault="00D77B5F" w:rsidP="00F96A97">
      <w:pPr>
        <w:pStyle w:val="Heading1"/>
        <w:numPr>
          <w:ilvl w:val="0"/>
          <w:numId w:val="4"/>
        </w:numPr>
        <w:jc w:val="both"/>
      </w:pPr>
      <w:bookmarkStart w:id="2" w:name="_Toc372969023"/>
      <w:r>
        <w:t>Objetivo de la auditoria</w:t>
      </w:r>
      <w:bookmarkEnd w:id="2"/>
    </w:p>
    <w:p w:rsidR="00693F9C" w:rsidRDefault="00693F9C" w:rsidP="00F96A97">
      <w:pPr>
        <w:jc w:val="both"/>
      </w:pPr>
    </w:p>
    <w:p w:rsidR="00693F9C" w:rsidRPr="00B5759C" w:rsidRDefault="00693F9C" w:rsidP="00F96A97">
      <w:pPr>
        <w:spacing w:line="360" w:lineRule="auto"/>
        <w:jc w:val="both"/>
        <w:rPr>
          <w:highlight w:val="lightGray"/>
        </w:rPr>
      </w:pPr>
      <w:r w:rsidRPr="00B5759C">
        <w:rPr>
          <w:highlight w:val="lightGray"/>
        </w:rPr>
        <w:t>El objetivo básico de la presente auditoria consiste en evaluar la situación económica y financiera</w:t>
      </w:r>
      <w:r w:rsidR="00B5759C" w:rsidRPr="00B5759C">
        <w:rPr>
          <w:highlight w:val="lightGray"/>
        </w:rPr>
        <w:t xml:space="preserve"> para determinar</w:t>
      </w:r>
      <w:r w:rsidRPr="00B5759C">
        <w:rPr>
          <w:highlight w:val="lightGray"/>
        </w:rPr>
        <w:t xml:space="preserve"> la razonabilidad del reclamo presentado contra los imputados y expresar una conclusión de forma independiente respecto al mandato recibido p</w:t>
      </w:r>
      <w:r w:rsidR="00B5759C" w:rsidRPr="00B5759C">
        <w:rPr>
          <w:highlight w:val="lightGray"/>
        </w:rPr>
        <w:t>or el juez cuarto de instrucción</w:t>
      </w:r>
      <w:r w:rsidRPr="00B5759C">
        <w:rPr>
          <w:highlight w:val="lightGray"/>
        </w:rPr>
        <w:t>.</w:t>
      </w:r>
    </w:p>
    <w:p w:rsidR="00693F9C" w:rsidRPr="00693F9C" w:rsidRDefault="00693F9C" w:rsidP="00F96A97">
      <w:pPr>
        <w:spacing w:line="360" w:lineRule="auto"/>
        <w:jc w:val="both"/>
      </w:pPr>
      <w:r w:rsidRPr="00B5759C">
        <w:rPr>
          <w:highlight w:val="lightGray"/>
        </w:rPr>
        <w:t>Nuestra revisión en este caso se enfoco en determinar</w:t>
      </w:r>
      <w:r w:rsidR="00B5759C" w:rsidRPr="00B5759C">
        <w:rPr>
          <w:highlight w:val="lightGray"/>
        </w:rPr>
        <w:t xml:space="preserve"> </w:t>
      </w:r>
      <w:r w:rsidRPr="00B5759C">
        <w:rPr>
          <w:highlight w:val="lightGray"/>
        </w:rPr>
        <w:t>los delitos mencionados  llevados a cabo en el mencionado juzgado.</w:t>
      </w:r>
    </w:p>
    <w:p w:rsidR="00D77B5F" w:rsidRDefault="00D77B5F" w:rsidP="00F96A97">
      <w:pPr>
        <w:pStyle w:val="Heading1"/>
        <w:numPr>
          <w:ilvl w:val="0"/>
          <w:numId w:val="4"/>
        </w:numPr>
        <w:jc w:val="both"/>
      </w:pPr>
      <w:bookmarkStart w:id="3" w:name="_Toc372969024"/>
      <w:r>
        <w:lastRenderedPageBreak/>
        <w:t>Antecedentes de las empresas</w:t>
      </w:r>
      <w:bookmarkEnd w:id="3"/>
    </w:p>
    <w:p w:rsidR="00693F9C" w:rsidRDefault="00693F9C" w:rsidP="00F96A97">
      <w:pPr>
        <w:pStyle w:val="Heading3"/>
        <w:jc w:val="both"/>
      </w:pPr>
    </w:p>
    <w:p w:rsidR="00693F9C" w:rsidRDefault="00693F9C" w:rsidP="00F96A97">
      <w:pPr>
        <w:pStyle w:val="Heading3"/>
        <w:numPr>
          <w:ilvl w:val="0"/>
          <w:numId w:val="7"/>
        </w:numPr>
        <w:jc w:val="both"/>
      </w:pPr>
      <w:bookmarkStart w:id="4" w:name="_Toc372969025"/>
      <w:r w:rsidRPr="00693F9C">
        <w:t>El Delfín S.A. de C.V.</w:t>
      </w:r>
      <w:bookmarkEnd w:id="4"/>
    </w:p>
    <w:p w:rsidR="00693F9C" w:rsidRDefault="00693F9C" w:rsidP="00F96A97">
      <w:pPr>
        <w:jc w:val="both"/>
      </w:pPr>
    </w:p>
    <w:p w:rsidR="00693F9C" w:rsidRDefault="00693F9C" w:rsidP="00F96A97">
      <w:pPr>
        <w:spacing w:line="360" w:lineRule="auto"/>
        <w:jc w:val="both"/>
      </w:pPr>
      <w:r>
        <w:t xml:space="preserve">La sociedad El Delfín S.A. de  C.V. se constituyo por escritura </w:t>
      </w:r>
      <w:r w:rsidR="004A3D9A">
        <w:t>pública</w:t>
      </w:r>
      <w:r>
        <w:t xml:space="preserve"> otorga</w:t>
      </w:r>
      <w:r w:rsidR="004A3D9A">
        <w:t xml:space="preserve">da en la ciudad de San Salvador, a las once horas y diez minutos  de día seis de diciembre de mil novecientos ochenta y cinco, ante los oficios notariales </w:t>
      </w:r>
      <w:r>
        <w:t xml:space="preserve"> </w:t>
      </w:r>
      <w:r w:rsidR="004A3D9A">
        <w:t xml:space="preserve"> de Jorge González inscrito en el registro de comercio bajo el numero de 777 del libro 1451 del registro de sociedades, desde el folio 179 hasta el folio 218.</w:t>
      </w:r>
    </w:p>
    <w:p w:rsidR="004A3D9A" w:rsidRDefault="004A3D9A" w:rsidP="00F96A97">
      <w:pPr>
        <w:spacing w:line="360" w:lineRule="auto"/>
        <w:jc w:val="both"/>
      </w:pPr>
      <w:r>
        <w:t>El régimen de construcción fue capital variable, con mínimo de  de cien mil colones, se suscribe y se paga.</w:t>
      </w:r>
    </w:p>
    <w:p w:rsidR="00693F9C" w:rsidRDefault="00693F9C" w:rsidP="00F96A97">
      <w:pPr>
        <w:pStyle w:val="Heading3"/>
        <w:numPr>
          <w:ilvl w:val="0"/>
          <w:numId w:val="7"/>
        </w:numPr>
        <w:jc w:val="both"/>
      </w:pPr>
      <w:bookmarkStart w:id="5" w:name="_Toc372969026"/>
      <w:proofErr w:type="spellStart"/>
      <w:r w:rsidRPr="00693F9C">
        <w:t>Atlantic</w:t>
      </w:r>
      <w:proofErr w:type="spellEnd"/>
      <w:r w:rsidRPr="00693F9C">
        <w:t xml:space="preserve">  S.A. de C.V.</w:t>
      </w:r>
      <w:bookmarkEnd w:id="5"/>
    </w:p>
    <w:p w:rsidR="004A3D9A" w:rsidRDefault="004A3D9A" w:rsidP="00F96A97">
      <w:pPr>
        <w:jc w:val="both"/>
      </w:pPr>
    </w:p>
    <w:p w:rsidR="004A3D9A" w:rsidRDefault="004A3D9A" w:rsidP="00F96A97">
      <w:pPr>
        <w:spacing w:line="360" w:lineRule="auto"/>
        <w:jc w:val="both"/>
      </w:pPr>
      <w:r>
        <w:t xml:space="preserve">La sociedad </w:t>
      </w:r>
      <w:proofErr w:type="spellStart"/>
      <w:r>
        <w:t>Atlantic</w:t>
      </w:r>
      <w:proofErr w:type="spellEnd"/>
      <w:r>
        <w:t xml:space="preserve">  S.A. de C.V. se constituyo por escritura pública otorgada en la ciudad de San Salvador, a  las diez horas y once minutos del </w:t>
      </w:r>
      <w:proofErr w:type="spellStart"/>
      <w:r>
        <w:t>dia</w:t>
      </w:r>
      <w:proofErr w:type="spellEnd"/>
      <w:r>
        <w:t xml:space="preserve"> nueve de diciembre de  de mil novecientos ochenta y tres,  ante los oficios notariales   de Emerson Galindo Pineda, inscrito en el registro de comercio bajo el numero de 00097 del libro 5114 del registro de sociedades, desde el folio 132 hasta el folio 152.</w:t>
      </w:r>
    </w:p>
    <w:p w:rsidR="004A3D9A" w:rsidRDefault="004A3D9A" w:rsidP="00F96A97">
      <w:pPr>
        <w:spacing w:line="360" w:lineRule="auto"/>
        <w:jc w:val="both"/>
      </w:pPr>
    </w:p>
    <w:p w:rsidR="004A3D9A" w:rsidRDefault="004A3D9A" w:rsidP="00F96A97">
      <w:pPr>
        <w:spacing w:line="360" w:lineRule="auto"/>
        <w:jc w:val="both"/>
      </w:pPr>
      <w:r>
        <w:t>El régimen de construcción fue capital variable, con mínimo de  de cien mil colones, se suscribe y se paga.</w:t>
      </w:r>
    </w:p>
    <w:p w:rsidR="004A3D9A" w:rsidRDefault="004A3D9A" w:rsidP="00F96A97">
      <w:pPr>
        <w:spacing w:line="360" w:lineRule="auto"/>
        <w:jc w:val="both"/>
      </w:pPr>
    </w:p>
    <w:p w:rsidR="00693F9C" w:rsidRDefault="00693F9C" w:rsidP="00F96A97">
      <w:pPr>
        <w:pStyle w:val="Heading3"/>
        <w:numPr>
          <w:ilvl w:val="0"/>
          <w:numId w:val="7"/>
        </w:numPr>
        <w:jc w:val="both"/>
      </w:pPr>
      <w:bookmarkStart w:id="6" w:name="_Toc372969027"/>
      <w:r w:rsidRPr="00693F9C">
        <w:t>Cementerio El Naufragio S.A. de C.V.</w:t>
      </w:r>
      <w:bookmarkEnd w:id="6"/>
      <w:r w:rsidRPr="00693F9C">
        <w:t xml:space="preserve"> </w:t>
      </w:r>
    </w:p>
    <w:p w:rsidR="004A3D9A" w:rsidRDefault="004A3D9A" w:rsidP="00F96A97">
      <w:pPr>
        <w:jc w:val="both"/>
      </w:pPr>
    </w:p>
    <w:p w:rsidR="004A3D9A" w:rsidRDefault="004A3D9A" w:rsidP="00F96A97">
      <w:pPr>
        <w:spacing w:line="360" w:lineRule="auto"/>
        <w:jc w:val="both"/>
      </w:pPr>
      <w:r>
        <w:t xml:space="preserve">La sociedad </w:t>
      </w:r>
      <w:r w:rsidR="00450BBB">
        <w:t xml:space="preserve">El Naufragio </w:t>
      </w:r>
      <w:r>
        <w:t xml:space="preserve">  S.A. de C.V.</w:t>
      </w:r>
      <w:r w:rsidR="00450BBB">
        <w:t xml:space="preserve"> conocido como Parque Santo El Nuevo Amanecer</w:t>
      </w:r>
      <w:r>
        <w:t xml:space="preserve"> se constituyo por escritura pública otorgada en la ciudad de San Salvador, a  las </w:t>
      </w:r>
      <w:r w:rsidR="00450BBB">
        <w:t xml:space="preserve"> nueve horas  y cincuenta minutos del día 13 de mayo de mil novecientos noventa, </w:t>
      </w:r>
      <w:r>
        <w:t xml:space="preserve"> ante los oficios notariales   de </w:t>
      </w:r>
      <w:r w:rsidR="00450BBB">
        <w:t>Eliseo Moran Medina</w:t>
      </w:r>
      <w:r>
        <w:t xml:space="preserve">, inscrito en el registro de comercio bajo el numero de </w:t>
      </w:r>
      <w:r w:rsidR="00450BBB">
        <w:t>1757</w:t>
      </w:r>
      <w:r>
        <w:t xml:space="preserve"> del libro </w:t>
      </w:r>
      <w:r w:rsidR="00450BBB">
        <w:t>1950</w:t>
      </w:r>
      <w:r>
        <w:t xml:space="preserve"> del registro de sociedades, desde el folio </w:t>
      </w:r>
      <w:r w:rsidR="00450BBB">
        <w:t>449</w:t>
      </w:r>
      <w:r>
        <w:t xml:space="preserve"> hasta el folio </w:t>
      </w:r>
      <w:r w:rsidR="00450BBB">
        <w:t xml:space="preserve"> 456.</w:t>
      </w:r>
    </w:p>
    <w:p w:rsidR="004A3D9A" w:rsidRDefault="004A3D9A" w:rsidP="00F96A97">
      <w:pPr>
        <w:spacing w:line="360" w:lineRule="auto"/>
        <w:jc w:val="both"/>
      </w:pPr>
    </w:p>
    <w:p w:rsidR="004A3D9A" w:rsidRDefault="004A3D9A" w:rsidP="00F96A97">
      <w:pPr>
        <w:spacing w:line="360" w:lineRule="auto"/>
        <w:jc w:val="both"/>
      </w:pPr>
      <w:r>
        <w:t xml:space="preserve">El régimen de construcción fue capital variable, con mínimo de  </w:t>
      </w:r>
      <w:r w:rsidR="00450BBB">
        <w:t xml:space="preserve">doscientos </w:t>
      </w:r>
      <w:r>
        <w:t xml:space="preserve"> mil colones, se suscribe y se paga.</w:t>
      </w:r>
    </w:p>
    <w:p w:rsidR="00D77B5F" w:rsidRDefault="00D77B5F" w:rsidP="00F96A97">
      <w:pPr>
        <w:pStyle w:val="Heading1"/>
        <w:numPr>
          <w:ilvl w:val="0"/>
          <w:numId w:val="4"/>
        </w:numPr>
        <w:jc w:val="both"/>
      </w:pPr>
      <w:bookmarkStart w:id="7" w:name="_Toc372969028"/>
      <w:r>
        <w:t>Alcance del trabajo realizado</w:t>
      </w:r>
      <w:bookmarkEnd w:id="7"/>
    </w:p>
    <w:p w:rsidR="002110ED" w:rsidRDefault="002110ED" w:rsidP="00F96A97">
      <w:pPr>
        <w:pStyle w:val="ListParagraph"/>
        <w:ind w:left="1080"/>
        <w:jc w:val="both"/>
      </w:pPr>
    </w:p>
    <w:p w:rsidR="002110ED" w:rsidRDefault="002110ED" w:rsidP="00F96A97">
      <w:pPr>
        <w:jc w:val="both"/>
      </w:pPr>
      <w:r w:rsidRPr="00B5759C">
        <w:rPr>
          <w:highlight w:val="lightGray"/>
        </w:rPr>
        <w:t xml:space="preserve">Hemos aplicado procedimientos de auditoría en los registros contables y demás archivos e información secuestrada, a fin de cumplir con </w:t>
      </w:r>
      <w:r w:rsidR="00B5759C" w:rsidRPr="00B5759C">
        <w:rPr>
          <w:highlight w:val="lightGray"/>
        </w:rPr>
        <w:t>el</w:t>
      </w:r>
      <w:r w:rsidRPr="00B5759C">
        <w:rPr>
          <w:highlight w:val="lightGray"/>
        </w:rPr>
        <w:t xml:space="preserve"> mandato de practicar peritaje de carácter contable legal del desarrollo financiero de las empresas en mención. Nuestro trabajo fue realizado según las Normas Internacionales de Auditoría aplicando los procedimientos que se detallan a continuación:</w:t>
      </w:r>
    </w:p>
    <w:p w:rsidR="00D77B5F" w:rsidRDefault="00D77B5F" w:rsidP="00F96A97">
      <w:pPr>
        <w:pStyle w:val="Heading2"/>
        <w:numPr>
          <w:ilvl w:val="0"/>
          <w:numId w:val="5"/>
        </w:numPr>
        <w:tabs>
          <w:tab w:val="left" w:pos="1134"/>
        </w:tabs>
        <w:ind w:firstLine="414"/>
        <w:jc w:val="both"/>
      </w:pPr>
      <w:bookmarkStart w:id="8" w:name="_Toc372969029"/>
      <w:r>
        <w:t>Actividades previas</w:t>
      </w:r>
      <w:bookmarkEnd w:id="8"/>
    </w:p>
    <w:p w:rsidR="002110ED" w:rsidRDefault="002110ED" w:rsidP="00F96A97">
      <w:pPr>
        <w:jc w:val="both"/>
      </w:pPr>
      <w:r>
        <w:t>Se visitaron las instalaciones de las oficinas en donde se encuentra resguardada la documentación secuestrada, ubicada en Colonia Médica, Av. Dr. Juan Pérez Nº 202 del Centro Profesional San Francisco Local Nº 1, de esta ciudad. Con el objeto de poder evaluar la existencia, confiabilidad, legalidad y competencia de la información. En nuestra calidad de peritos  contables se procedió según detalle:</w:t>
      </w:r>
    </w:p>
    <w:p w:rsidR="002110ED" w:rsidRDefault="002110ED" w:rsidP="00F96A97">
      <w:pPr>
        <w:pStyle w:val="ListParagraph"/>
        <w:numPr>
          <w:ilvl w:val="0"/>
          <w:numId w:val="8"/>
        </w:numPr>
        <w:jc w:val="both"/>
      </w:pPr>
      <w:r>
        <w:t xml:space="preserve">A requerimiento del juzgado, </w:t>
      </w:r>
      <w:r w:rsidRPr="00A416D9">
        <w:rPr>
          <w:highlight w:val="lightGray"/>
        </w:rPr>
        <w:t>realizamos un inventario físico de la documentación, libros legales, equipo de cómputo y demás registros, los cuales se encontraron depositados en un total de 110 cajas de cartón.</w:t>
      </w:r>
    </w:p>
    <w:p w:rsidR="002110ED" w:rsidRDefault="002110ED" w:rsidP="00F96A97">
      <w:pPr>
        <w:pStyle w:val="ListParagraph"/>
        <w:numPr>
          <w:ilvl w:val="0"/>
          <w:numId w:val="8"/>
        </w:numPr>
        <w:jc w:val="both"/>
      </w:pPr>
      <w:r>
        <w:t>Procedimos a instalarnos para llevar a cabo la auditoría en cuestión.</w:t>
      </w:r>
    </w:p>
    <w:p w:rsidR="00D77B5F" w:rsidRDefault="00D77B5F" w:rsidP="00F96A97">
      <w:pPr>
        <w:pStyle w:val="Heading2"/>
        <w:numPr>
          <w:ilvl w:val="0"/>
          <w:numId w:val="5"/>
        </w:numPr>
        <w:tabs>
          <w:tab w:val="left" w:pos="1134"/>
        </w:tabs>
        <w:ind w:firstLine="414"/>
        <w:jc w:val="both"/>
      </w:pPr>
      <w:bookmarkStart w:id="9" w:name="_Toc372969030"/>
      <w:r>
        <w:t>Aspectos formales y contractuales</w:t>
      </w:r>
      <w:bookmarkEnd w:id="9"/>
    </w:p>
    <w:p w:rsidR="00F96A97" w:rsidRDefault="00F96A97" w:rsidP="00F96A97">
      <w:pPr>
        <w:pStyle w:val="ListParagraph"/>
        <w:numPr>
          <w:ilvl w:val="0"/>
          <w:numId w:val="9"/>
        </w:numPr>
        <w:jc w:val="both"/>
      </w:pPr>
      <w:r w:rsidRPr="00A416D9">
        <w:rPr>
          <w:highlight w:val="lightGray"/>
        </w:rPr>
        <w:t>Verificamos la existencia legal de las sociedades</w:t>
      </w:r>
      <w:r>
        <w:t xml:space="preserve"> y el tiempo  en el que  se realizaron sus operaciones que se encuentran en litigio.</w:t>
      </w:r>
    </w:p>
    <w:p w:rsidR="00F96A97" w:rsidRDefault="00F96A97" w:rsidP="00F96A97">
      <w:pPr>
        <w:pStyle w:val="ListParagraph"/>
        <w:numPr>
          <w:ilvl w:val="0"/>
          <w:numId w:val="9"/>
        </w:numPr>
        <w:jc w:val="both"/>
      </w:pPr>
      <w:r w:rsidRPr="002732C9">
        <w:rPr>
          <w:highlight w:val="lightGray"/>
        </w:rPr>
        <w:t xml:space="preserve">La empresa El </w:t>
      </w:r>
      <w:proofErr w:type="spellStart"/>
      <w:r w:rsidRPr="002732C9">
        <w:rPr>
          <w:highlight w:val="lightGray"/>
        </w:rPr>
        <w:t>Delfin</w:t>
      </w:r>
      <w:proofErr w:type="spellEnd"/>
      <w:r w:rsidRPr="002732C9">
        <w:rPr>
          <w:highlight w:val="lightGray"/>
        </w:rPr>
        <w:t xml:space="preserve">, S.A. de C.V.  adquirió el </w:t>
      </w:r>
      <w:proofErr w:type="spellStart"/>
      <w:r w:rsidRPr="002732C9">
        <w:rPr>
          <w:highlight w:val="lightGray"/>
        </w:rPr>
        <w:t>dia</w:t>
      </w:r>
      <w:proofErr w:type="spellEnd"/>
      <w:r w:rsidRPr="002732C9">
        <w:rPr>
          <w:highlight w:val="lightGray"/>
        </w:rPr>
        <w:t xml:space="preserve"> 5 de febrero de 1993, según contrato de dación en pago, los terrenos donde se encuentra la parte desarrollada como Cementerio El Naufragio S.A. de C.V.,</w:t>
      </w:r>
      <w:r>
        <w:t xml:space="preserve"> que comprende las etapas uno, dos y parte de la tercera, y con ello todos los derechos para el funcionamiento del mismo, incluyendo la facultad de vender y administrar los derechos de uso y a perpetuidad de los lotes situados en los terrenos del mencionado cementerio para inhumar cadáveres, pudiendo comercializar los servicios de apertura y cierre de las fosas correspondiente “y cualquier otro tipo de servicios”; asimismo todos los derechos sobre uso del nombre comercial, logotipo, papelería y propaganda relacionada con el “Parque Jardín Nuevo Amanecer”.</w:t>
      </w:r>
    </w:p>
    <w:p w:rsidR="00F96A97" w:rsidRDefault="00F96A97" w:rsidP="00F96A97">
      <w:pPr>
        <w:pStyle w:val="ListParagraph"/>
        <w:numPr>
          <w:ilvl w:val="0"/>
          <w:numId w:val="9"/>
        </w:numPr>
        <w:jc w:val="both"/>
      </w:pPr>
      <w:r>
        <w:t xml:space="preserve">Se comprobó que durante el periodo auditado, la sociedad El </w:t>
      </w:r>
      <w:proofErr w:type="spellStart"/>
      <w:r>
        <w:t>Delfin</w:t>
      </w:r>
      <w:proofErr w:type="spellEnd"/>
      <w:r>
        <w:t xml:space="preserve">, S.A. de C.V. fue administrada por la sociedad </w:t>
      </w:r>
      <w:proofErr w:type="spellStart"/>
      <w:r>
        <w:t>Atlantic</w:t>
      </w:r>
      <w:proofErr w:type="spellEnd"/>
      <w:r>
        <w:t xml:space="preserve">, S.A. de C.V. mediante contrato de agencia, representación, administración y participación aplicable a todo el giro y gestiones relacionadas, permanentemente con “El Naufragio S.A.  de  C.V.”, conocido </w:t>
      </w:r>
      <w:r>
        <w:lastRenderedPageBreak/>
        <w:t>comercialmente como “Parque El Nuevo Amanecer”, el contrato es de fecha 14 de junio de 1996, inscrito en el Registro de Comercio al Nº 39, Folios 286 y siguientes del Libro 589, fue otorgado ante los oficios de la Notario Elisa Blanca Romero.</w:t>
      </w:r>
    </w:p>
    <w:p w:rsidR="00F96A97" w:rsidRDefault="00F96A97" w:rsidP="00F96A97">
      <w:pPr>
        <w:pStyle w:val="ListParagraph"/>
        <w:numPr>
          <w:ilvl w:val="0"/>
          <w:numId w:val="9"/>
        </w:numPr>
        <w:jc w:val="both"/>
      </w:pPr>
      <w:r>
        <w:t xml:space="preserve">Se observó además copia de testimonio de escritura pública de terminación  de contrato de mercadeo, promoción, publicidad, ventas, explotación y administración otorgado por </w:t>
      </w:r>
      <w:proofErr w:type="spellStart"/>
      <w:r>
        <w:t>Atlantic</w:t>
      </w:r>
      <w:proofErr w:type="spellEnd"/>
      <w:r>
        <w:t xml:space="preserve">, S.A. de C.V. y El </w:t>
      </w:r>
      <w:proofErr w:type="spellStart"/>
      <w:r>
        <w:t>Delfin</w:t>
      </w:r>
      <w:proofErr w:type="spellEnd"/>
      <w:r>
        <w:t>, S.A.  de C.V., ante los oficios del notario Miguel Figueroa, inscrito en el Registro de Comercio al Nº 25 del Libro 285 del Registro de Contratos Mercantiles. Desde el Folio 00288 hasta el folio 00297  con fecha de inscripción 8 de Noviembre de 1996.</w:t>
      </w:r>
    </w:p>
    <w:p w:rsidR="00F96A97" w:rsidRDefault="00F96A97" w:rsidP="00F96A97">
      <w:pPr>
        <w:pStyle w:val="ListParagraph"/>
        <w:numPr>
          <w:ilvl w:val="0"/>
          <w:numId w:val="9"/>
        </w:numPr>
        <w:jc w:val="both"/>
      </w:pPr>
      <w:r>
        <w:t>Los derechos y obligaciones que establece el contrato son los siguientes:</w:t>
      </w:r>
    </w:p>
    <w:p w:rsidR="00F96A97" w:rsidRDefault="00F96A97" w:rsidP="00F96A97">
      <w:pPr>
        <w:pStyle w:val="ListParagraph"/>
        <w:numPr>
          <w:ilvl w:val="0"/>
          <w:numId w:val="10"/>
        </w:numPr>
        <w:jc w:val="both"/>
      </w:pPr>
      <w:r>
        <w:t>Prestar el servicio de sepultura en puesto a perpetuidad o temporal,</w:t>
      </w:r>
    </w:p>
    <w:p w:rsidR="00F96A97" w:rsidRDefault="00F96A97" w:rsidP="00F96A97">
      <w:pPr>
        <w:pStyle w:val="ListParagraph"/>
        <w:numPr>
          <w:ilvl w:val="0"/>
          <w:numId w:val="10"/>
        </w:numPr>
        <w:jc w:val="both"/>
      </w:pPr>
      <w:r>
        <w:t>Promover el mercado, publicidad, ventas de puestos, cobros, explotación y administración del cementerio, emisión de títulos sobre los puestos, para lo que se le conceden las facultades generales del mandato,</w:t>
      </w:r>
    </w:p>
    <w:p w:rsidR="00F96A97" w:rsidRDefault="00F96A97" w:rsidP="00F96A97">
      <w:pPr>
        <w:pStyle w:val="ListParagraph"/>
        <w:numPr>
          <w:ilvl w:val="0"/>
          <w:numId w:val="10"/>
        </w:numPr>
        <w:jc w:val="both"/>
      </w:pPr>
      <w:r>
        <w:t>Comercializar todo tipo de servicios incluyendo el apertura y cierre de las fosas correspondientes y aquellos relacionados,</w:t>
      </w:r>
    </w:p>
    <w:p w:rsidR="00F96A97" w:rsidRDefault="00F96A97" w:rsidP="00F96A97">
      <w:pPr>
        <w:pStyle w:val="ListParagraph"/>
        <w:numPr>
          <w:ilvl w:val="0"/>
          <w:numId w:val="10"/>
        </w:numPr>
        <w:jc w:val="both"/>
      </w:pPr>
      <w:r>
        <w:t>Utilizar el nombre comercial, el logotipo, la papelería y publicidad relacionada a El Naufragio, S.A.  de C.V.,</w:t>
      </w:r>
    </w:p>
    <w:p w:rsidR="00F96A97" w:rsidRDefault="00F96A97" w:rsidP="00F96A97">
      <w:pPr>
        <w:pStyle w:val="ListParagraph"/>
        <w:numPr>
          <w:ilvl w:val="0"/>
          <w:numId w:val="10"/>
        </w:numPr>
        <w:jc w:val="both"/>
      </w:pPr>
      <w:r>
        <w:t>Dar mantenimiento a todas las áreas destinadas al cementerio, actuales  y futuros.</w:t>
      </w:r>
    </w:p>
    <w:p w:rsidR="00F96A97" w:rsidRDefault="00F96A97" w:rsidP="00F96A97">
      <w:pPr>
        <w:pStyle w:val="ListParagraph"/>
        <w:numPr>
          <w:ilvl w:val="0"/>
          <w:numId w:val="10"/>
        </w:numPr>
        <w:jc w:val="both"/>
      </w:pPr>
      <w:r>
        <w:t>Contratar en su nombre como administradora, el personal administrativo en general, para actividades  en las oficinas principales o agencias que se relacionen con la administración de El Naufragio, S.A.  de C.V., el cual pagará la sociedad administradora por cuentas de la propietaria,</w:t>
      </w:r>
    </w:p>
    <w:p w:rsidR="00F96A97" w:rsidRDefault="00F96A97" w:rsidP="00F96A97">
      <w:pPr>
        <w:pStyle w:val="ListParagraph"/>
        <w:numPr>
          <w:ilvl w:val="0"/>
          <w:numId w:val="10"/>
        </w:numPr>
        <w:jc w:val="both"/>
      </w:pPr>
      <w:r>
        <w:t>La sociedad administradora cobrará y recibirá los ingresos procedentes de las ventas y cobranzas  realizadas por cuenta de la sociedad propietaria, por ventas pasadas, presentes y futuras,</w:t>
      </w:r>
    </w:p>
    <w:p w:rsidR="00F96A97" w:rsidRDefault="00F96A97" w:rsidP="00F96A97">
      <w:pPr>
        <w:pStyle w:val="ListParagraph"/>
        <w:numPr>
          <w:ilvl w:val="0"/>
          <w:numId w:val="10"/>
        </w:numPr>
        <w:jc w:val="both"/>
      </w:pPr>
      <w:r>
        <w:t>Efectuar pagos de los gastos que generen sus actividades, inversiones y gastos financieros, los que serán por cuenta de la sociedad propietaria.</w:t>
      </w:r>
    </w:p>
    <w:p w:rsidR="00F96A97" w:rsidRDefault="00F96A97" w:rsidP="00F96A97">
      <w:pPr>
        <w:pStyle w:val="ListParagraph"/>
        <w:numPr>
          <w:ilvl w:val="0"/>
          <w:numId w:val="10"/>
        </w:numPr>
        <w:jc w:val="both"/>
      </w:pPr>
      <w:r>
        <w:t>Trasladar a la sociedad propietaria, al final del ejercicio contable, los excedentes que resulten de los ingresos después de descontarle todos los gastos incluyendo los financieros, los de inversiones y comisiones pagadas por la sociedad administradora.</w:t>
      </w:r>
    </w:p>
    <w:p w:rsidR="00F96A97" w:rsidRPr="002732C9" w:rsidRDefault="00F96A97" w:rsidP="00F96A97">
      <w:pPr>
        <w:pStyle w:val="ListParagraph"/>
        <w:numPr>
          <w:ilvl w:val="0"/>
          <w:numId w:val="9"/>
        </w:numPr>
        <w:jc w:val="both"/>
        <w:rPr>
          <w:highlight w:val="lightGray"/>
        </w:rPr>
      </w:pPr>
      <w:r w:rsidRPr="002732C9">
        <w:rPr>
          <w:highlight w:val="lightGray"/>
        </w:rPr>
        <w:t>El contrato de administración de establece, según su numeral V, condiciones generales sobre la sociedad administradora:</w:t>
      </w:r>
    </w:p>
    <w:p w:rsidR="00F96A97" w:rsidRPr="002732C9" w:rsidRDefault="00F96A97" w:rsidP="00F96A97">
      <w:pPr>
        <w:pStyle w:val="ListParagraph"/>
        <w:numPr>
          <w:ilvl w:val="0"/>
          <w:numId w:val="11"/>
        </w:numPr>
        <w:jc w:val="both"/>
        <w:rPr>
          <w:highlight w:val="lightGray"/>
        </w:rPr>
      </w:pPr>
      <w:r w:rsidRPr="002732C9">
        <w:rPr>
          <w:highlight w:val="lightGray"/>
        </w:rPr>
        <w:t>Libertad para dedicarse a cualquier otra actividad o negocios diferentes a los pactados;</w:t>
      </w:r>
    </w:p>
    <w:p w:rsidR="00F96A97" w:rsidRDefault="00F96A97" w:rsidP="00F96A97">
      <w:pPr>
        <w:pStyle w:val="ListParagraph"/>
        <w:numPr>
          <w:ilvl w:val="0"/>
          <w:numId w:val="11"/>
        </w:numPr>
        <w:jc w:val="both"/>
      </w:pPr>
      <w:r>
        <w:t>Facultada para celebrar toda clase de gestiones administrativas, comerciales, contratos y otros actos, de acuerdo  a las cláusulas del mismo.</w:t>
      </w:r>
    </w:p>
    <w:p w:rsidR="00F96A97" w:rsidRPr="002732C9" w:rsidRDefault="00F96A97" w:rsidP="00F96A97">
      <w:pPr>
        <w:pStyle w:val="ListParagraph"/>
        <w:numPr>
          <w:ilvl w:val="0"/>
          <w:numId w:val="9"/>
        </w:numPr>
        <w:jc w:val="both"/>
        <w:rPr>
          <w:highlight w:val="lightGray"/>
        </w:rPr>
      </w:pPr>
      <w:r w:rsidRPr="002732C9">
        <w:rPr>
          <w:highlight w:val="lightGray"/>
        </w:rPr>
        <w:t xml:space="preserve">El citado contrato de administración también establece la forma de pago de los honorarios de la empresa administradora, del contrato de administración  celebrado entre El </w:t>
      </w:r>
      <w:proofErr w:type="spellStart"/>
      <w:r w:rsidRPr="002732C9">
        <w:rPr>
          <w:highlight w:val="lightGray"/>
        </w:rPr>
        <w:t>Delfin</w:t>
      </w:r>
      <w:proofErr w:type="spellEnd"/>
      <w:r w:rsidRPr="002732C9">
        <w:rPr>
          <w:highlight w:val="lightGray"/>
        </w:rPr>
        <w:t xml:space="preserve">, S.A. de C.V. y </w:t>
      </w:r>
      <w:proofErr w:type="spellStart"/>
      <w:r w:rsidRPr="002732C9">
        <w:rPr>
          <w:highlight w:val="lightGray"/>
        </w:rPr>
        <w:t>Atlantic</w:t>
      </w:r>
      <w:proofErr w:type="spellEnd"/>
      <w:r w:rsidRPr="002732C9">
        <w:rPr>
          <w:highlight w:val="lightGray"/>
        </w:rPr>
        <w:t xml:space="preserve">, S.A. de C.V., correspondiéndole a </w:t>
      </w:r>
      <w:proofErr w:type="spellStart"/>
      <w:r w:rsidRPr="002732C9">
        <w:rPr>
          <w:highlight w:val="lightGray"/>
        </w:rPr>
        <w:t>Atlantic</w:t>
      </w:r>
      <w:proofErr w:type="spellEnd"/>
      <w:r w:rsidRPr="002732C9">
        <w:rPr>
          <w:highlight w:val="lightGray"/>
        </w:rPr>
        <w:t xml:space="preserve">, S.A.  de C.V. como administradora, el cuarenta por ciento de la utilidad neta obtenida por El Naufragio, S.A. </w:t>
      </w:r>
      <w:r w:rsidRPr="002732C9">
        <w:rPr>
          <w:highlight w:val="lightGray"/>
        </w:rPr>
        <w:lastRenderedPageBreak/>
        <w:t xml:space="preserve">de C.V. y el sesenta por ciento  le corresponderá a El </w:t>
      </w:r>
      <w:proofErr w:type="spellStart"/>
      <w:r w:rsidRPr="002732C9">
        <w:rPr>
          <w:highlight w:val="lightGray"/>
        </w:rPr>
        <w:t>Delfin</w:t>
      </w:r>
      <w:proofErr w:type="spellEnd"/>
      <w:r w:rsidRPr="002732C9">
        <w:rPr>
          <w:highlight w:val="lightGray"/>
        </w:rPr>
        <w:t xml:space="preserve">, S.A. de C.V., las que podrán ser liquidadas trimestralmente o antes si fuera necesario.  </w:t>
      </w:r>
    </w:p>
    <w:p w:rsidR="00F96A97" w:rsidRPr="00F96A97" w:rsidRDefault="00F96A97" w:rsidP="00F96A97">
      <w:pPr>
        <w:jc w:val="both"/>
      </w:pPr>
    </w:p>
    <w:p w:rsidR="00D77B5F" w:rsidRDefault="00D77B5F" w:rsidP="00F96A97">
      <w:pPr>
        <w:pStyle w:val="Heading2"/>
        <w:numPr>
          <w:ilvl w:val="0"/>
          <w:numId w:val="5"/>
        </w:numPr>
        <w:tabs>
          <w:tab w:val="left" w:pos="1134"/>
        </w:tabs>
        <w:ind w:firstLine="414"/>
        <w:jc w:val="both"/>
      </w:pPr>
      <w:bookmarkStart w:id="10" w:name="_Toc372969031"/>
      <w:r>
        <w:t>Procedimientos de auditoría aplicados</w:t>
      </w:r>
      <w:bookmarkEnd w:id="10"/>
    </w:p>
    <w:p w:rsidR="00380352" w:rsidRPr="00380352" w:rsidRDefault="00380352" w:rsidP="00380352"/>
    <w:tbl>
      <w:tblPr>
        <w:tblStyle w:val="MediumShading1-Accent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92"/>
        <w:gridCol w:w="7162"/>
      </w:tblGrid>
      <w:tr w:rsidR="00380352" w:rsidRPr="00E01C7E" w:rsidTr="002F114E">
        <w:trPr>
          <w:cnfStyle w:val="100000000000"/>
        </w:trPr>
        <w:tc>
          <w:tcPr>
            <w:cnfStyle w:val="001000000000"/>
            <w:tcW w:w="1908" w:type="dxa"/>
            <w:tcBorders>
              <w:top w:val="none" w:sz="0" w:space="0" w:color="auto"/>
              <w:left w:val="none" w:sz="0" w:space="0" w:color="auto"/>
              <w:bottom w:val="none" w:sz="0" w:space="0" w:color="auto"/>
              <w:right w:val="none" w:sz="0" w:space="0" w:color="auto"/>
            </w:tcBorders>
          </w:tcPr>
          <w:p w:rsidR="00380352" w:rsidRPr="00E01C7E" w:rsidRDefault="00380352" w:rsidP="002F114E">
            <w:pPr>
              <w:jc w:val="center"/>
              <w:rPr>
                <w:sz w:val="28"/>
                <w:szCs w:val="28"/>
                <w:lang w:val="es-SV"/>
              </w:rPr>
            </w:pPr>
            <w:r w:rsidRPr="00E01C7E">
              <w:rPr>
                <w:sz w:val="28"/>
                <w:szCs w:val="28"/>
                <w:lang w:val="es-SV"/>
              </w:rPr>
              <w:t>ÁREA</w:t>
            </w:r>
          </w:p>
        </w:tc>
        <w:tc>
          <w:tcPr>
            <w:tcW w:w="7668" w:type="dxa"/>
            <w:tcBorders>
              <w:top w:val="none" w:sz="0" w:space="0" w:color="auto"/>
              <w:left w:val="none" w:sz="0" w:space="0" w:color="auto"/>
              <w:bottom w:val="none" w:sz="0" w:space="0" w:color="auto"/>
              <w:right w:val="none" w:sz="0" w:space="0" w:color="auto"/>
            </w:tcBorders>
          </w:tcPr>
          <w:p w:rsidR="00380352" w:rsidRPr="00E01C7E" w:rsidRDefault="00380352" w:rsidP="002F114E">
            <w:pPr>
              <w:jc w:val="center"/>
              <w:cnfStyle w:val="100000000000"/>
              <w:rPr>
                <w:sz w:val="28"/>
                <w:szCs w:val="28"/>
                <w:lang w:val="es-SV"/>
              </w:rPr>
            </w:pPr>
            <w:r w:rsidRPr="00E01C7E">
              <w:rPr>
                <w:sz w:val="28"/>
                <w:szCs w:val="28"/>
                <w:lang w:val="es-SV"/>
              </w:rPr>
              <w:t>CONCLUSIONES</w:t>
            </w:r>
          </w:p>
        </w:tc>
      </w:tr>
      <w:tr w:rsidR="00380352" w:rsidRPr="00B30359" w:rsidTr="002F114E">
        <w:trPr>
          <w:cnfStyle w:val="000000100000"/>
        </w:trPr>
        <w:tc>
          <w:tcPr>
            <w:cnfStyle w:val="001000000000"/>
            <w:tcW w:w="1908" w:type="dxa"/>
            <w:tcBorders>
              <w:right w:val="none" w:sz="0" w:space="0" w:color="auto"/>
            </w:tcBorders>
          </w:tcPr>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r w:rsidRPr="00B30359">
              <w:rPr>
                <w:sz w:val="24"/>
                <w:szCs w:val="24"/>
                <w:lang w:val="es-SV"/>
              </w:rPr>
              <w:t xml:space="preserve">Actividades principales entre </w:t>
            </w:r>
            <w:proofErr w:type="spellStart"/>
            <w:r w:rsidRPr="00B30359">
              <w:rPr>
                <w:sz w:val="24"/>
                <w:szCs w:val="24"/>
                <w:lang w:val="es-SV"/>
              </w:rPr>
              <w:t>Atlantic</w:t>
            </w:r>
            <w:proofErr w:type="spellEnd"/>
            <w:r w:rsidRPr="00B30359">
              <w:rPr>
                <w:sz w:val="24"/>
                <w:szCs w:val="24"/>
                <w:lang w:val="es-SV"/>
              </w:rPr>
              <w:t xml:space="preserve">, S.A. de C.V. y el Delfín, S.A. de C.V. </w:t>
            </w:r>
          </w:p>
        </w:tc>
        <w:tc>
          <w:tcPr>
            <w:tcW w:w="7668" w:type="dxa"/>
            <w:tcBorders>
              <w:left w:val="none" w:sz="0" w:space="0" w:color="auto"/>
            </w:tcBorders>
          </w:tcPr>
          <w:p w:rsidR="00380352" w:rsidRPr="00B30359" w:rsidRDefault="00380352" w:rsidP="002F114E">
            <w:pPr>
              <w:cnfStyle w:val="000000100000"/>
              <w:rPr>
                <w:sz w:val="24"/>
                <w:szCs w:val="24"/>
                <w:lang w:val="es-SV"/>
              </w:rPr>
            </w:pPr>
          </w:p>
          <w:p w:rsidR="00380352" w:rsidRPr="00B30359" w:rsidRDefault="00380352" w:rsidP="002F114E">
            <w:pPr>
              <w:cnfStyle w:val="000000100000"/>
              <w:rPr>
                <w:sz w:val="24"/>
                <w:szCs w:val="24"/>
                <w:lang w:val="es-SV"/>
              </w:rPr>
            </w:pPr>
            <w:r w:rsidRPr="00B30359">
              <w:rPr>
                <w:sz w:val="24"/>
                <w:szCs w:val="24"/>
                <w:lang w:val="es-SV"/>
              </w:rPr>
              <w:t xml:space="preserve">Con posterioridad a la fecha de la firma del contrato de administración  en el año de 1996, y a pesar de que el Delfín, S.A. de C.V. en su calidad de propietaria, tiene todos los derechos para comercializar servicios afines; </w:t>
            </w:r>
            <w:proofErr w:type="spellStart"/>
            <w:r w:rsidRPr="00B30359">
              <w:rPr>
                <w:sz w:val="24"/>
                <w:szCs w:val="24"/>
                <w:lang w:val="es-SV"/>
              </w:rPr>
              <w:t>Atlantic</w:t>
            </w:r>
            <w:proofErr w:type="spellEnd"/>
            <w:r w:rsidRPr="00B30359">
              <w:rPr>
                <w:sz w:val="24"/>
                <w:szCs w:val="24"/>
                <w:lang w:val="es-SV"/>
              </w:rPr>
              <w:t>, S.A. de C.V. en su calidad de administradora, realizo estos servicios por cuenta propia aun  cuando en el contrato  se establece la limitante de que podrá dedicarse a cualquier otra actividad o negocio diferente a los pactados, y faculta exclusivamente a la empresa Delfín, S.A. de C.V. a la venta de títulos a perpetuidad.</w:t>
            </w:r>
          </w:p>
          <w:p w:rsidR="00380352" w:rsidRPr="00B30359" w:rsidRDefault="00380352" w:rsidP="002F114E">
            <w:pPr>
              <w:cnfStyle w:val="000000100000"/>
              <w:rPr>
                <w:sz w:val="24"/>
                <w:szCs w:val="24"/>
                <w:lang w:val="es-SV"/>
              </w:rPr>
            </w:pPr>
            <w:r w:rsidRPr="00B30359">
              <w:rPr>
                <w:sz w:val="24"/>
                <w:szCs w:val="24"/>
                <w:lang w:val="es-SV"/>
              </w:rPr>
              <w:t xml:space="preserve">    </w:t>
            </w:r>
          </w:p>
        </w:tc>
      </w:tr>
      <w:tr w:rsidR="00380352" w:rsidRPr="00B30359" w:rsidTr="002F114E">
        <w:trPr>
          <w:cnfStyle w:val="000000010000"/>
        </w:trPr>
        <w:tc>
          <w:tcPr>
            <w:cnfStyle w:val="001000000000"/>
            <w:tcW w:w="1908" w:type="dxa"/>
            <w:tcBorders>
              <w:right w:val="none" w:sz="0" w:space="0" w:color="auto"/>
            </w:tcBorders>
          </w:tcPr>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r w:rsidRPr="00B30359">
              <w:rPr>
                <w:sz w:val="24"/>
                <w:szCs w:val="24"/>
                <w:lang w:val="es-SV"/>
              </w:rPr>
              <w:t>Facturación</w:t>
            </w:r>
          </w:p>
        </w:tc>
        <w:tc>
          <w:tcPr>
            <w:tcW w:w="7668" w:type="dxa"/>
            <w:tcBorders>
              <w:left w:val="none" w:sz="0" w:space="0" w:color="auto"/>
            </w:tcBorders>
          </w:tcPr>
          <w:p w:rsidR="00380352" w:rsidRPr="00B30359" w:rsidRDefault="00380352" w:rsidP="002F114E">
            <w:pPr>
              <w:cnfStyle w:val="000000010000"/>
              <w:rPr>
                <w:sz w:val="24"/>
                <w:szCs w:val="24"/>
                <w:lang w:val="es-SV"/>
              </w:rPr>
            </w:pPr>
          </w:p>
          <w:p w:rsidR="00380352" w:rsidRPr="00B30359" w:rsidRDefault="00380352" w:rsidP="002F114E">
            <w:pPr>
              <w:cnfStyle w:val="000000010000"/>
              <w:rPr>
                <w:sz w:val="24"/>
                <w:szCs w:val="24"/>
                <w:lang w:val="es-SV"/>
              </w:rPr>
            </w:pPr>
            <w:r w:rsidRPr="00B30359">
              <w:rPr>
                <w:sz w:val="24"/>
                <w:szCs w:val="24"/>
                <w:lang w:val="es-SV"/>
              </w:rPr>
              <w:t>Se investigo sobre la forma de facturar los servicios prestados por cada una de las empresas y se observo  lo siguiente:</w:t>
            </w:r>
          </w:p>
          <w:p w:rsidR="00380352" w:rsidRPr="00B30359" w:rsidRDefault="00380352" w:rsidP="00380352">
            <w:pPr>
              <w:pStyle w:val="ListParagraph"/>
              <w:numPr>
                <w:ilvl w:val="0"/>
                <w:numId w:val="12"/>
              </w:numPr>
              <w:cnfStyle w:val="000000010000"/>
              <w:rPr>
                <w:sz w:val="24"/>
                <w:szCs w:val="24"/>
                <w:lang w:val="es-SV"/>
              </w:rPr>
            </w:pPr>
            <w:r w:rsidRPr="00B30359">
              <w:rPr>
                <w:sz w:val="24"/>
                <w:szCs w:val="24"/>
                <w:lang w:val="es-SV"/>
              </w:rPr>
              <w:t>No existe facturación separada de los servicios pertenecientes a cada empresa.</w:t>
            </w:r>
          </w:p>
          <w:p w:rsidR="00380352" w:rsidRPr="00B30359" w:rsidRDefault="00380352" w:rsidP="00380352">
            <w:pPr>
              <w:pStyle w:val="ListParagraph"/>
              <w:numPr>
                <w:ilvl w:val="0"/>
                <w:numId w:val="12"/>
              </w:numPr>
              <w:cnfStyle w:val="000000010000"/>
              <w:rPr>
                <w:sz w:val="24"/>
                <w:szCs w:val="24"/>
                <w:lang w:val="es-SV"/>
              </w:rPr>
            </w:pPr>
            <w:r w:rsidRPr="00B30359">
              <w:rPr>
                <w:sz w:val="24"/>
                <w:szCs w:val="24"/>
                <w:lang w:val="es-SV"/>
              </w:rPr>
              <w:t>En la papelería perteneciente a ambas empresas se facturaban servicios de las mismas, independiente mente de quien fuese la que prestaba el servicio.</w:t>
            </w:r>
          </w:p>
          <w:p w:rsidR="00380352" w:rsidRPr="00B30359" w:rsidRDefault="00380352" w:rsidP="002F114E">
            <w:pPr>
              <w:pStyle w:val="ListParagraph"/>
              <w:cnfStyle w:val="000000010000"/>
              <w:rPr>
                <w:sz w:val="24"/>
                <w:szCs w:val="24"/>
                <w:lang w:val="es-SV"/>
              </w:rPr>
            </w:pPr>
          </w:p>
        </w:tc>
      </w:tr>
      <w:tr w:rsidR="00380352" w:rsidRPr="00B30359" w:rsidTr="002F114E">
        <w:trPr>
          <w:cnfStyle w:val="000000100000"/>
        </w:trPr>
        <w:tc>
          <w:tcPr>
            <w:cnfStyle w:val="001000000000"/>
            <w:tcW w:w="1908" w:type="dxa"/>
            <w:tcBorders>
              <w:right w:val="none" w:sz="0" w:space="0" w:color="auto"/>
            </w:tcBorders>
          </w:tcPr>
          <w:p w:rsidR="00380352" w:rsidRPr="00B30359" w:rsidRDefault="00380352" w:rsidP="002F114E">
            <w:pPr>
              <w:rPr>
                <w:sz w:val="24"/>
                <w:szCs w:val="24"/>
                <w:lang w:val="es-SV"/>
              </w:rPr>
            </w:pPr>
          </w:p>
          <w:p w:rsidR="00380352" w:rsidRPr="00B30359" w:rsidRDefault="00380352" w:rsidP="002F114E">
            <w:pPr>
              <w:rPr>
                <w:sz w:val="24"/>
                <w:szCs w:val="24"/>
                <w:lang w:val="es-SV"/>
              </w:rPr>
            </w:pPr>
            <w:r w:rsidRPr="00B30359">
              <w:rPr>
                <w:sz w:val="24"/>
                <w:szCs w:val="24"/>
                <w:lang w:val="es-SV"/>
              </w:rPr>
              <w:t>Análisis de Tendencias en estados Financieros</w:t>
            </w:r>
          </w:p>
        </w:tc>
        <w:tc>
          <w:tcPr>
            <w:tcW w:w="7668" w:type="dxa"/>
            <w:tcBorders>
              <w:left w:val="none" w:sz="0" w:space="0" w:color="auto"/>
            </w:tcBorders>
          </w:tcPr>
          <w:p w:rsidR="00380352" w:rsidRPr="00B30359" w:rsidRDefault="00380352" w:rsidP="002F114E">
            <w:pPr>
              <w:cnfStyle w:val="000000100000"/>
              <w:rPr>
                <w:sz w:val="24"/>
                <w:szCs w:val="24"/>
                <w:lang w:val="es-SV"/>
              </w:rPr>
            </w:pPr>
          </w:p>
          <w:p w:rsidR="00380352" w:rsidRPr="00B30359" w:rsidRDefault="00380352" w:rsidP="002F114E">
            <w:pPr>
              <w:cnfStyle w:val="000000100000"/>
              <w:rPr>
                <w:sz w:val="24"/>
                <w:szCs w:val="24"/>
                <w:lang w:val="es-SV"/>
              </w:rPr>
            </w:pPr>
            <w:r w:rsidRPr="00B30359">
              <w:rPr>
                <w:sz w:val="24"/>
                <w:szCs w:val="24"/>
                <w:lang w:val="es-SV"/>
              </w:rPr>
              <w:t>Se verificaron los estados de resultados de ambas empresas para establecer la tendencia del desarrollo económico de cada una por los periodos en mención, es importante aclara que los Estados Financieros de El Delfín, S.A. de C.V., que se encontraron en la documentación secuestrada, carecen de firmas y no se encontraron libros legalizados que respalden las cifras.</w:t>
            </w:r>
          </w:p>
          <w:p w:rsidR="00380352" w:rsidRPr="00B30359" w:rsidRDefault="00380352" w:rsidP="002F114E">
            <w:pPr>
              <w:cnfStyle w:val="000000100000"/>
              <w:rPr>
                <w:sz w:val="24"/>
                <w:szCs w:val="24"/>
                <w:lang w:val="es-SV"/>
              </w:rPr>
            </w:pPr>
            <w:r w:rsidRPr="00B30359">
              <w:rPr>
                <w:sz w:val="24"/>
                <w:szCs w:val="24"/>
                <w:lang w:val="es-SV"/>
              </w:rPr>
              <w:t xml:space="preserve"> </w:t>
            </w:r>
          </w:p>
        </w:tc>
      </w:tr>
      <w:tr w:rsidR="00380352" w:rsidRPr="00B30359" w:rsidTr="002F114E">
        <w:trPr>
          <w:cnfStyle w:val="000000010000"/>
        </w:trPr>
        <w:tc>
          <w:tcPr>
            <w:cnfStyle w:val="001000000000"/>
            <w:tcW w:w="1908" w:type="dxa"/>
            <w:tcBorders>
              <w:right w:val="none" w:sz="0" w:space="0" w:color="auto"/>
            </w:tcBorders>
          </w:tcPr>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p>
          <w:p w:rsidR="00380352" w:rsidRPr="00B30359" w:rsidRDefault="00380352" w:rsidP="002F114E">
            <w:pPr>
              <w:rPr>
                <w:sz w:val="24"/>
                <w:szCs w:val="24"/>
                <w:lang w:val="es-SV"/>
              </w:rPr>
            </w:pPr>
            <w:r w:rsidRPr="00B30359">
              <w:rPr>
                <w:sz w:val="24"/>
                <w:szCs w:val="24"/>
                <w:lang w:val="es-SV"/>
              </w:rPr>
              <w:t xml:space="preserve">Liquidación de ingresos y gastos </w:t>
            </w:r>
            <w:r w:rsidRPr="00B30359">
              <w:rPr>
                <w:sz w:val="24"/>
                <w:szCs w:val="24"/>
                <w:lang w:val="es-SV"/>
              </w:rPr>
              <w:lastRenderedPageBreak/>
              <w:t xml:space="preserve">preparados por </w:t>
            </w:r>
            <w:proofErr w:type="spellStart"/>
            <w:r w:rsidRPr="00B30359">
              <w:rPr>
                <w:sz w:val="24"/>
                <w:szCs w:val="24"/>
                <w:lang w:val="es-SV"/>
              </w:rPr>
              <w:t>Atlantic</w:t>
            </w:r>
            <w:proofErr w:type="spellEnd"/>
            <w:r w:rsidRPr="00B30359">
              <w:rPr>
                <w:sz w:val="24"/>
                <w:szCs w:val="24"/>
                <w:lang w:val="es-SV"/>
              </w:rPr>
              <w:t>, S.A. de C.V. para el Delfín, S.A. de C.V.</w:t>
            </w:r>
          </w:p>
        </w:tc>
        <w:tc>
          <w:tcPr>
            <w:tcW w:w="7668" w:type="dxa"/>
            <w:tcBorders>
              <w:left w:val="none" w:sz="0" w:space="0" w:color="auto"/>
            </w:tcBorders>
          </w:tcPr>
          <w:p w:rsidR="00380352" w:rsidRPr="00B30359" w:rsidRDefault="00380352" w:rsidP="002F114E">
            <w:pPr>
              <w:cnfStyle w:val="000000010000"/>
              <w:rPr>
                <w:sz w:val="24"/>
                <w:szCs w:val="24"/>
                <w:lang w:val="es-SV"/>
              </w:rPr>
            </w:pPr>
          </w:p>
          <w:p w:rsidR="00380352" w:rsidRPr="00B30359" w:rsidRDefault="00380352" w:rsidP="002F114E">
            <w:pPr>
              <w:cnfStyle w:val="000000010000"/>
              <w:rPr>
                <w:sz w:val="24"/>
                <w:szCs w:val="24"/>
                <w:lang w:val="es-SV"/>
              </w:rPr>
            </w:pPr>
            <w:r w:rsidRPr="00B30359">
              <w:rPr>
                <w:sz w:val="24"/>
                <w:szCs w:val="24"/>
                <w:lang w:val="es-SV"/>
              </w:rPr>
              <w:t xml:space="preserve">El monto de las utilidades se establece al restar los egresos de los ingresos, a la utilidad restante se le aplica el 40% correspondiente a </w:t>
            </w:r>
            <w:proofErr w:type="spellStart"/>
            <w:r w:rsidRPr="00B30359">
              <w:rPr>
                <w:sz w:val="24"/>
                <w:szCs w:val="24"/>
                <w:lang w:val="es-SV"/>
              </w:rPr>
              <w:t>Atlantic</w:t>
            </w:r>
            <w:proofErr w:type="spellEnd"/>
            <w:r w:rsidRPr="00B30359">
              <w:rPr>
                <w:sz w:val="24"/>
                <w:szCs w:val="24"/>
                <w:lang w:val="es-SV"/>
              </w:rPr>
              <w:t>, S.A. de C.V. y 60% correspondiente a El Delfín, S.A. de C.V.</w:t>
            </w:r>
          </w:p>
          <w:p w:rsidR="00380352" w:rsidRPr="00B30359" w:rsidRDefault="00380352" w:rsidP="002F114E">
            <w:pPr>
              <w:cnfStyle w:val="000000010000"/>
              <w:rPr>
                <w:sz w:val="24"/>
                <w:szCs w:val="24"/>
                <w:lang w:val="es-SV"/>
              </w:rPr>
            </w:pPr>
            <w:r w:rsidRPr="00B30359">
              <w:rPr>
                <w:sz w:val="24"/>
                <w:szCs w:val="24"/>
                <w:lang w:val="es-SV"/>
              </w:rPr>
              <w:t>Se analizaron las liquidaciones, verificándose los siguiente:</w:t>
            </w:r>
          </w:p>
          <w:p w:rsidR="00380352" w:rsidRPr="00B30359" w:rsidRDefault="00380352" w:rsidP="00380352">
            <w:pPr>
              <w:pStyle w:val="ListParagraph"/>
              <w:numPr>
                <w:ilvl w:val="0"/>
                <w:numId w:val="12"/>
              </w:numPr>
              <w:cnfStyle w:val="000000010000"/>
              <w:rPr>
                <w:sz w:val="24"/>
                <w:szCs w:val="24"/>
                <w:lang w:val="es-SV"/>
              </w:rPr>
            </w:pPr>
            <w:r w:rsidRPr="00B30359">
              <w:rPr>
                <w:sz w:val="24"/>
                <w:szCs w:val="24"/>
                <w:lang w:val="es-SV"/>
              </w:rPr>
              <w:t>No existe uniformidad en el tratamiento de ingresos y egresos, ya que los ingresos son tomados en su totalidad  y los gastos se aplican en forma diferida.</w:t>
            </w:r>
          </w:p>
          <w:p w:rsidR="00380352" w:rsidRPr="00B30359" w:rsidRDefault="00380352" w:rsidP="00380352">
            <w:pPr>
              <w:pStyle w:val="ListParagraph"/>
              <w:numPr>
                <w:ilvl w:val="0"/>
                <w:numId w:val="12"/>
              </w:numPr>
              <w:cnfStyle w:val="000000010000"/>
              <w:rPr>
                <w:sz w:val="24"/>
                <w:szCs w:val="24"/>
                <w:lang w:val="es-SV"/>
              </w:rPr>
            </w:pPr>
            <w:r w:rsidRPr="00B30359">
              <w:rPr>
                <w:sz w:val="24"/>
                <w:szCs w:val="24"/>
                <w:lang w:val="es-SV"/>
              </w:rPr>
              <w:lastRenderedPageBreak/>
              <w:t>Al comparar ingresos totales y gastos diferidos, el resultado es diferente al que se obtiene cuando se confrontan ingresos y gastos del mes en igual condición: ya que al presentar ingresos del periodo y gastos diferidos se obtendría como resultado mayor utilidad del ejercicio.</w:t>
            </w:r>
          </w:p>
          <w:p w:rsidR="00380352" w:rsidRPr="00B30359" w:rsidRDefault="00380352" w:rsidP="002F114E">
            <w:pPr>
              <w:cnfStyle w:val="000000010000"/>
              <w:rPr>
                <w:sz w:val="24"/>
                <w:szCs w:val="24"/>
                <w:lang w:val="es-SV"/>
              </w:rPr>
            </w:pPr>
            <w:r w:rsidRPr="00B30359">
              <w:rPr>
                <w:sz w:val="24"/>
                <w:szCs w:val="24"/>
                <w:lang w:val="es-SV"/>
              </w:rPr>
              <w:t xml:space="preserve">En base a la revisión  se determino que $ 4, 189,903.79 de honorarios por administración fueron  calculados en exceso en relación a lo que establece el contrato de administración.   </w:t>
            </w:r>
          </w:p>
          <w:p w:rsidR="00380352" w:rsidRPr="00B30359" w:rsidRDefault="00380352" w:rsidP="002F114E">
            <w:pPr>
              <w:cnfStyle w:val="000000010000"/>
              <w:rPr>
                <w:sz w:val="24"/>
                <w:szCs w:val="24"/>
                <w:lang w:val="es-SV"/>
              </w:rPr>
            </w:pPr>
          </w:p>
        </w:tc>
      </w:tr>
      <w:tr w:rsidR="00380352" w:rsidRPr="00B30359" w:rsidTr="002F114E">
        <w:trPr>
          <w:cnfStyle w:val="000000100000"/>
        </w:trPr>
        <w:tc>
          <w:tcPr>
            <w:cnfStyle w:val="001000000000"/>
            <w:tcW w:w="1908" w:type="dxa"/>
            <w:tcBorders>
              <w:right w:val="none" w:sz="0" w:space="0" w:color="auto"/>
            </w:tcBorders>
          </w:tcPr>
          <w:p w:rsidR="00380352" w:rsidRPr="00B30359" w:rsidRDefault="00380352" w:rsidP="002F114E">
            <w:pPr>
              <w:jc w:val="both"/>
              <w:rPr>
                <w:sz w:val="24"/>
                <w:szCs w:val="24"/>
                <w:lang w:val="es-SV"/>
              </w:rPr>
            </w:pPr>
          </w:p>
          <w:p w:rsidR="00380352" w:rsidRPr="00B30359" w:rsidRDefault="00380352" w:rsidP="002F114E">
            <w:pPr>
              <w:jc w:val="both"/>
              <w:rPr>
                <w:b w:val="0"/>
                <w:sz w:val="24"/>
                <w:szCs w:val="24"/>
                <w:lang w:val="es-SV"/>
              </w:rPr>
            </w:pPr>
            <w:r w:rsidRPr="00B30359">
              <w:rPr>
                <w:sz w:val="24"/>
                <w:szCs w:val="24"/>
                <w:lang w:val="es-SV"/>
              </w:rPr>
              <w:t>Responsables de la administración del DELFIN, S.A. de C.V.</w:t>
            </w:r>
          </w:p>
          <w:p w:rsidR="00380352" w:rsidRPr="00B30359" w:rsidRDefault="00380352" w:rsidP="002F114E">
            <w:pPr>
              <w:rPr>
                <w:sz w:val="24"/>
                <w:szCs w:val="24"/>
                <w:lang w:val="es-SV"/>
              </w:rPr>
            </w:pPr>
          </w:p>
        </w:tc>
        <w:tc>
          <w:tcPr>
            <w:tcW w:w="7668" w:type="dxa"/>
            <w:tcBorders>
              <w:left w:val="none" w:sz="0" w:space="0" w:color="auto"/>
            </w:tcBorders>
          </w:tcPr>
          <w:p w:rsidR="00380352" w:rsidRPr="00B30359" w:rsidRDefault="00380352" w:rsidP="002F114E">
            <w:pPr>
              <w:cnfStyle w:val="000000100000"/>
              <w:rPr>
                <w:sz w:val="24"/>
                <w:szCs w:val="24"/>
                <w:lang w:val="es-SV"/>
              </w:rPr>
            </w:pPr>
          </w:p>
          <w:p w:rsidR="00380352" w:rsidRPr="00B30359" w:rsidRDefault="00380352" w:rsidP="002F114E">
            <w:pPr>
              <w:jc w:val="both"/>
              <w:cnfStyle w:val="000000100000"/>
              <w:rPr>
                <w:sz w:val="24"/>
                <w:szCs w:val="24"/>
                <w:lang w:val="es-SV"/>
              </w:rPr>
            </w:pPr>
            <w:r w:rsidRPr="00B30359">
              <w:rPr>
                <w:sz w:val="24"/>
                <w:szCs w:val="24"/>
                <w:lang w:val="es-SV"/>
              </w:rPr>
              <w:t>Se examinaron documentos legales. Acta de Junta Directivas, credenciales, escrituras públicas agregadas, en el juicio penal Ref-07140; documentos proporcionados por empleados de ATLANTIC, S.A. de C.V. que muestra que las personas que tienen la administración, el cuido y manejo de los bienes de la empresa EL DELFIN, S.A. de C.V. son:</w:t>
            </w:r>
          </w:p>
          <w:p w:rsidR="00380352" w:rsidRPr="00B30359" w:rsidRDefault="00380352" w:rsidP="00380352">
            <w:pPr>
              <w:pStyle w:val="ListParagraph"/>
              <w:numPr>
                <w:ilvl w:val="0"/>
                <w:numId w:val="13"/>
              </w:numPr>
              <w:jc w:val="both"/>
              <w:cnfStyle w:val="000000100000"/>
              <w:rPr>
                <w:sz w:val="24"/>
                <w:szCs w:val="24"/>
                <w:lang w:val="es-SV"/>
              </w:rPr>
            </w:pPr>
            <w:r w:rsidRPr="00B30359">
              <w:rPr>
                <w:sz w:val="24"/>
                <w:szCs w:val="24"/>
                <w:lang w:val="es-SV"/>
              </w:rPr>
              <w:t xml:space="preserve">Isaac </w:t>
            </w:r>
            <w:proofErr w:type="spellStart"/>
            <w:r w:rsidRPr="00B30359">
              <w:rPr>
                <w:sz w:val="24"/>
                <w:szCs w:val="24"/>
                <w:lang w:val="es-SV"/>
              </w:rPr>
              <w:t>Nathán</w:t>
            </w:r>
            <w:proofErr w:type="spellEnd"/>
            <w:r w:rsidRPr="00B30359">
              <w:rPr>
                <w:sz w:val="24"/>
                <w:szCs w:val="24"/>
                <w:lang w:val="es-SV"/>
              </w:rPr>
              <w:t xml:space="preserve"> Callejas Guzmán</w:t>
            </w:r>
          </w:p>
          <w:p w:rsidR="00380352" w:rsidRPr="00B30359" w:rsidRDefault="00380352" w:rsidP="00380352">
            <w:pPr>
              <w:pStyle w:val="ListParagraph"/>
              <w:numPr>
                <w:ilvl w:val="0"/>
                <w:numId w:val="13"/>
              </w:numPr>
              <w:jc w:val="both"/>
              <w:cnfStyle w:val="000000100000"/>
              <w:rPr>
                <w:sz w:val="24"/>
                <w:szCs w:val="24"/>
                <w:lang w:val="es-SV"/>
              </w:rPr>
            </w:pPr>
            <w:r w:rsidRPr="00B30359">
              <w:rPr>
                <w:sz w:val="24"/>
                <w:szCs w:val="24"/>
                <w:lang w:val="es-SV"/>
              </w:rPr>
              <w:t xml:space="preserve">Juan Ramón González </w:t>
            </w:r>
          </w:p>
          <w:p w:rsidR="00380352" w:rsidRPr="00B30359" w:rsidRDefault="00380352" w:rsidP="00380352">
            <w:pPr>
              <w:pStyle w:val="ListParagraph"/>
              <w:numPr>
                <w:ilvl w:val="0"/>
                <w:numId w:val="13"/>
              </w:numPr>
              <w:jc w:val="both"/>
              <w:cnfStyle w:val="000000100000"/>
              <w:rPr>
                <w:sz w:val="24"/>
                <w:szCs w:val="24"/>
                <w:lang w:val="es-SV"/>
              </w:rPr>
            </w:pPr>
            <w:r w:rsidRPr="00B30359">
              <w:rPr>
                <w:sz w:val="24"/>
                <w:szCs w:val="24"/>
                <w:lang w:val="es-SV"/>
              </w:rPr>
              <w:t xml:space="preserve">Alberto Genaro Mira </w:t>
            </w:r>
          </w:p>
          <w:p w:rsidR="00380352" w:rsidRPr="00B30359" w:rsidRDefault="00380352" w:rsidP="00380352">
            <w:pPr>
              <w:pStyle w:val="ListParagraph"/>
              <w:numPr>
                <w:ilvl w:val="0"/>
                <w:numId w:val="13"/>
              </w:numPr>
              <w:jc w:val="both"/>
              <w:cnfStyle w:val="000000100000"/>
              <w:rPr>
                <w:sz w:val="24"/>
                <w:szCs w:val="24"/>
                <w:lang w:val="es-SV"/>
              </w:rPr>
            </w:pPr>
            <w:r w:rsidRPr="00B30359">
              <w:rPr>
                <w:sz w:val="24"/>
                <w:szCs w:val="24"/>
                <w:lang w:val="es-SV"/>
              </w:rPr>
              <w:t xml:space="preserve">Luis </w:t>
            </w:r>
            <w:proofErr w:type="spellStart"/>
            <w:r w:rsidRPr="00B30359">
              <w:rPr>
                <w:sz w:val="24"/>
                <w:szCs w:val="24"/>
                <w:lang w:val="es-SV"/>
              </w:rPr>
              <w:t>Vanegas</w:t>
            </w:r>
            <w:proofErr w:type="spellEnd"/>
            <w:r w:rsidRPr="00B30359">
              <w:rPr>
                <w:sz w:val="24"/>
                <w:szCs w:val="24"/>
                <w:lang w:val="es-SV"/>
              </w:rPr>
              <w:t xml:space="preserve"> Quintanilla</w:t>
            </w:r>
          </w:p>
          <w:p w:rsidR="00380352" w:rsidRPr="00B30359" w:rsidRDefault="00380352" w:rsidP="002F114E">
            <w:pPr>
              <w:cnfStyle w:val="000000100000"/>
              <w:rPr>
                <w:sz w:val="24"/>
                <w:szCs w:val="24"/>
                <w:lang w:val="es-SV"/>
              </w:rPr>
            </w:pPr>
          </w:p>
        </w:tc>
      </w:tr>
      <w:tr w:rsidR="00380352" w:rsidRPr="00B30359" w:rsidTr="002F114E">
        <w:trPr>
          <w:cnfStyle w:val="000000010000"/>
        </w:trPr>
        <w:tc>
          <w:tcPr>
            <w:cnfStyle w:val="001000000000"/>
            <w:tcW w:w="1908" w:type="dxa"/>
            <w:tcBorders>
              <w:right w:val="none" w:sz="0" w:space="0" w:color="auto"/>
            </w:tcBorders>
          </w:tcPr>
          <w:p w:rsidR="00380352" w:rsidRPr="00B30359" w:rsidRDefault="00380352" w:rsidP="002F114E">
            <w:pPr>
              <w:jc w:val="both"/>
              <w:rPr>
                <w:sz w:val="24"/>
                <w:szCs w:val="24"/>
                <w:lang w:val="es-SV"/>
              </w:rPr>
            </w:pPr>
          </w:p>
          <w:p w:rsidR="00380352" w:rsidRPr="00B30359" w:rsidRDefault="00380352" w:rsidP="002F114E">
            <w:pPr>
              <w:jc w:val="both"/>
              <w:rPr>
                <w:b w:val="0"/>
                <w:sz w:val="24"/>
                <w:szCs w:val="24"/>
                <w:lang w:val="es-SV"/>
              </w:rPr>
            </w:pPr>
            <w:r w:rsidRPr="00B30359">
              <w:rPr>
                <w:sz w:val="24"/>
                <w:szCs w:val="24"/>
                <w:lang w:val="es-SV"/>
              </w:rPr>
              <w:t>Administración de la compañías relacionadas</w:t>
            </w:r>
            <w:bookmarkStart w:id="11" w:name="_GoBack"/>
            <w:bookmarkEnd w:id="11"/>
          </w:p>
          <w:p w:rsidR="00380352" w:rsidRPr="00B30359" w:rsidRDefault="00380352" w:rsidP="002F114E">
            <w:pPr>
              <w:rPr>
                <w:sz w:val="24"/>
                <w:szCs w:val="24"/>
                <w:lang w:val="es-SV"/>
              </w:rPr>
            </w:pPr>
          </w:p>
        </w:tc>
        <w:tc>
          <w:tcPr>
            <w:tcW w:w="7668" w:type="dxa"/>
            <w:tcBorders>
              <w:left w:val="none" w:sz="0" w:space="0" w:color="auto"/>
            </w:tcBorders>
          </w:tcPr>
          <w:p w:rsidR="00380352" w:rsidRPr="00B30359" w:rsidRDefault="00380352" w:rsidP="002F114E">
            <w:pPr>
              <w:jc w:val="both"/>
              <w:cnfStyle w:val="000000010000"/>
              <w:rPr>
                <w:b/>
                <w:sz w:val="24"/>
                <w:szCs w:val="24"/>
                <w:lang w:val="es-SV"/>
              </w:rPr>
            </w:pPr>
          </w:p>
          <w:p w:rsidR="00380352" w:rsidRPr="00B30359" w:rsidRDefault="00380352" w:rsidP="002F114E">
            <w:pPr>
              <w:cnfStyle w:val="000000010000"/>
              <w:rPr>
                <w:sz w:val="24"/>
                <w:szCs w:val="24"/>
                <w:lang w:val="es-SV"/>
              </w:rPr>
            </w:pPr>
            <w:r w:rsidRPr="00B30359">
              <w:rPr>
                <w:sz w:val="24"/>
                <w:szCs w:val="24"/>
                <w:lang w:val="es-SV"/>
              </w:rPr>
              <w:t>Se examinaron los documentos encontraron dentro de la información secuestrada en ATLANTIC, S.A. de C.V. que muestran que las empresas relacionadas estaban siendo dirigidas por los mismos directivos.</w:t>
            </w:r>
          </w:p>
        </w:tc>
      </w:tr>
    </w:tbl>
    <w:p w:rsidR="00380352" w:rsidRPr="00380352" w:rsidRDefault="00380352" w:rsidP="00380352"/>
    <w:p w:rsidR="0044299D" w:rsidRDefault="0044299D" w:rsidP="00F96A97">
      <w:pPr>
        <w:pStyle w:val="Heading1"/>
        <w:numPr>
          <w:ilvl w:val="0"/>
          <w:numId w:val="4"/>
        </w:numPr>
        <w:jc w:val="both"/>
      </w:pPr>
      <w:bookmarkStart w:id="12" w:name="_Toc372969032"/>
      <w:r>
        <w:t>Conclusiones</w:t>
      </w:r>
      <w:bookmarkEnd w:id="12"/>
      <w:r>
        <w:t xml:space="preserve"> </w:t>
      </w:r>
    </w:p>
    <w:p w:rsidR="0044299D" w:rsidRDefault="0044299D" w:rsidP="00F96A97">
      <w:pPr>
        <w:jc w:val="both"/>
      </w:pPr>
    </w:p>
    <w:p w:rsidR="00450BBB" w:rsidRDefault="00450BBB" w:rsidP="00F96A97">
      <w:pPr>
        <w:spacing w:line="360" w:lineRule="auto"/>
        <w:jc w:val="both"/>
      </w:pPr>
      <w:r>
        <w:t xml:space="preserve">Nuestro trabajo fue realizado con base a la </w:t>
      </w:r>
      <w:r w:rsidR="00EC12A6">
        <w:t>documentación</w:t>
      </w:r>
      <w:r>
        <w:t xml:space="preserve"> secuestrada p</w:t>
      </w:r>
      <w:r w:rsidR="00EC12A6">
        <w:t xml:space="preserve">or </w:t>
      </w:r>
      <w:r>
        <w:t xml:space="preserve">el juzgado cuarto </w:t>
      </w:r>
      <w:r w:rsidR="00B01307">
        <w:t xml:space="preserve"> de Instruc</w:t>
      </w:r>
      <w:r w:rsidR="00EC12A6">
        <w:t xml:space="preserve">ción, la cual fue obtenida en las oficinas del mismo juzgado, proporcionada por la oficina  de </w:t>
      </w:r>
      <w:proofErr w:type="spellStart"/>
      <w:r w:rsidR="00EC12A6">
        <w:t>Atlantic</w:t>
      </w:r>
      <w:proofErr w:type="spellEnd"/>
      <w:r w:rsidR="00EC12A6">
        <w:t xml:space="preserve">  S.A. de C.V. y la documentación de la empresa El Delfín S.A. de  C.V. y por los auditores expertos.  </w:t>
      </w:r>
      <w:proofErr w:type="spellStart"/>
      <w:r w:rsidR="00EC12A6">
        <w:t>Alvarenga</w:t>
      </w:r>
      <w:proofErr w:type="spellEnd"/>
      <w:r w:rsidR="00EC12A6">
        <w:t xml:space="preserve">  </w:t>
      </w:r>
      <w:proofErr w:type="spellStart"/>
      <w:r w:rsidR="00EC12A6">
        <w:t>Fratty</w:t>
      </w:r>
      <w:proofErr w:type="spellEnd"/>
      <w:r w:rsidR="00EC12A6">
        <w:t xml:space="preserve">, Y </w:t>
      </w:r>
      <w:proofErr w:type="spellStart"/>
      <w:r w:rsidR="00EC12A6">
        <w:t>Cia</w:t>
      </w:r>
      <w:proofErr w:type="spellEnd"/>
      <w:r w:rsidR="00EC12A6">
        <w:t xml:space="preserve">. </w:t>
      </w:r>
      <w:r w:rsidR="00EC12A6" w:rsidRPr="002732C9">
        <w:rPr>
          <w:highlight w:val="yellow"/>
        </w:rPr>
        <w:t xml:space="preserve">Con base al trabajo realizado y al resultado del mismo, concluimos que la empresa El Naufragio   S.A. de C.V. administrada por </w:t>
      </w:r>
      <w:proofErr w:type="spellStart"/>
      <w:r w:rsidR="00EC12A6" w:rsidRPr="002732C9">
        <w:rPr>
          <w:highlight w:val="yellow"/>
        </w:rPr>
        <w:t>Atlantic</w:t>
      </w:r>
      <w:proofErr w:type="spellEnd"/>
      <w:r w:rsidR="00EC12A6" w:rsidRPr="002732C9">
        <w:rPr>
          <w:highlight w:val="yellow"/>
        </w:rPr>
        <w:t xml:space="preserve">  S.A. de C.V. ha sido administrada incurriendo en situaciones que revelan transacciones no autorizadas debidamente y en, consecuencia, causan perjuicios económicos a los accionistas de la empresa  El Delfín S.A. de  C.V.</w:t>
      </w:r>
    </w:p>
    <w:p w:rsidR="00EC12A6" w:rsidRDefault="00EC12A6" w:rsidP="00F96A97">
      <w:pPr>
        <w:spacing w:line="360" w:lineRule="auto"/>
        <w:jc w:val="both"/>
      </w:pPr>
    </w:p>
    <w:p w:rsidR="00EC12A6" w:rsidRDefault="00EC12A6" w:rsidP="00F96A97">
      <w:pPr>
        <w:spacing w:line="360" w:lineRule="auto"/>
        <w:jc w:val="both"/>
      </w:pPr>
      <w:r>
        <w:t>Así nuestro informe, el cual damos por concluido con fecha tres de octubre  del año dos mil dos, y firmamos.</w:t>
      </w:r>
    </w:p>
    <w:p w:rsidR="0059214E" w:rsidRDefault="0059214E" w:rsidP="00F96A97">
      <w:pPr>
        <w:spacing w:line="360" w:lineRule="auto"/>
        <w:jc w:val="both"/>
      </w:pPr>
    </w:p>
    <w:p w:rsidR="0059214E" w:rsidRDefault="0059214E" w:rsidP="00F96A97">
      <w:pPr>
        <w:spacing w:line="360" w:lineRule="auto"/>
        <w:jc w:val="both"/>
      </w:pPr>
    </w:p>
    <w:p w:rsidR="0059214E" w:rsidRDefault="0059214E" w:rsidP="00F96A97">
      <w:pPr>
        <w:spacing w:line="360" w:lineRule="auto"/>
        <w:jc w:val="both"/>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6"/>
        <w:gridCol w:w="1275"/>
        <w:gridCol w:w="3767"/>
      </w:tblGrid>
      <w:tr w:rsidR="00EC12A6" w:rsidTr="0059214E">
        <w:trPr>
          <w:trHeight w:val="1038"/>
        </w:trPr>
        <w:tc>
          <w:tcPr>
            <w:tcW w:w="3936" w:type="dxa"/>
            <w:tcBorders>
              <w:top w:val="single" w:sz="4" w:space="0" w:color="auto"/>
            </w:tcBorders>
          </w:tcPr>
          <w:p w:rsidR="00EC12A6" w:rsidRDefault="00EC12A6" w:rsidP="00F96A97">
            <w:pPr>
              <w:spacing w:line="360" w:lineRule="auto"/>
              <w:jc w:val="both"/>
            </w:pPr>
            <w:r>
              <w:t xml:space="preserve">Lic. </w:t>
            </w:r>
            <w:proofErr w:type="spellStart"/>
            <w:r>
              <w:t>Iliana</w:t>
            </w:r>
            <w:proofErr w:type="spellEnd"/>
            <w:r>
              <w:t xml:space="preserve"> Elizabeth Molina Magaña</w:t>
            </w:r>
          </w:p>
          <w:p w:rsidR="00EC12A6" w:rsidRPr="0059214E" w:rsidRDefault="00EC12A6" w:rsidP="00F96A97">
            <w:pPr>
              <w:spacing w:line="360" w:lineRule="auto"/>
              <w:jc w:val="both"/>
              <w:rPr>
                <w:b/>
              </w:rPr>
            </w:pPr>
            <w:r w:rsidRPr="0059214E">
              <w:rPr>
                <w:b/>
              </w:rPr>
              <w:t>Registro Profesional N° 777</w:t>
            </w:r>
          </w:p>
          <w:p w:rsidR="00EC12A6" w:rsidRDefault="00EC12A6" w:rsidP="00F96A97">
            <w:pPr>
              <w:spacing w:line="360" w:lineRule="auto"/>
              <w:jc w:val="both"/>
            </w:pPr>
            <w:r>
              <w:t>Auditor I</w:t>
            </w:r>
            <w:r w:rsidR="0059214E">
              <w:t>ndependiente</w:t>
            </w:r>
          </w:p>
          <w:p w:rsidR="00EC12A6" w:rsidRDefault="00EC12A6" w:rsidP="00F96A97">
            <w:pPr>
              <w:spacing w:line="360" w:lineRule="auto"/>
              <w:jc w:val="both"/>
            </w:pPr>
          </w:p>
        </w:tc>
        <w:tc>
          <w:tcPr>
            <w:tcW w:w="1275" w:type="dxa"/>
          </w:tcPr>
          <w:p w:rsidR="00EC12A6" w:rsidRDefault="00EC12A6" w:rsidP="00F96A97">
            <w:pPr>
              <w:spacing w:line="360" w:lineRule="auto"/>
              <w:jc w:val="both"/>
            </w:pPr>
          </w:p>
        </w:tc>
        <w:tc>
          <w:tcPr>
            <w:tcW w:w="3767" w:type="dxa"/>
            <w:tcBorders>
              <w:top w:val="single" w:sz="4" w:space="0" w:color="auto"/>
            </w:tcBorders>
          </w:tcPr>
          <w:p w:rsidR="00EC12A6" w:rsidRDefault="0059214E" w:rsidP="00F96A97">
            <w:pPr>
              <w:spacing w:line="360" w:lineRule="auto"/>
              <w:jc w:val="both"/>
            </w:pPr>
            <w:r>
              <w:t>Lic. Milagro del Carmen Vásquez Santos</w:t>
            </w:r>
          </w:p>
          <w:p w:rsidR="0059214E" w:rsidRPr="0059214E" w:rsidRDefault="0059214E" w:rsidP="00F96A97">
            <w:pPr>
              <w:spacing w:line="360" w:lineRule="auto"/>
              <w:jc w:val="both"/>
              <w:rPr>
                <w:b/>
              </w:rPr>
            </w:pPr>
            <w:r w:rsidRPr="0059214E">
              <w:rPr>
                <w:b/>
              </w:rPr>
              <w:t>Registro profesional N° 123</w:t>
            </w:r>
          </w:p>
          <w:p w:rsidR="0059214E" w:rsidRDefault="0059214E" w:rsidP="00F96A97">
            <w:pPr>
              <w:spacing w:line="360" w:lineRule="auto"/>
              <w:jc w:val="both"/>
            </w:pPr>
            <w:r>
              <w:t>Auditor independiente</w:t>
            </w:r>
          </w:p>
        </w:tc>
      </w:tr>
    </w:tbl>
    <w:p w:rsidR="00EC12A6" w:rsidRDefault="00EC12A6" w:rsidP="00F96A97">
      <w:pPr>
        <w:spacing w:line="360" w:lineRule="auto"/>
        <w:jc w:val="both"/>
      </w:pPr>
    </w:p>
    <w:p w:rsidR="0044299D" w:rsidRDefault="00886A00" w:rsidP="00F96A97">
      <w:pPr>
        <w:spacing w:line="360" w:lineRule="auto"/>
        <w:jc w:val="both"/>
      </w:pPr>
      <w:r>
        <w:t>Doy FE de ser AUTENT</w:t>
      </w:r>
      <w:r w:rsidR="0059214E">
        <w:t>ICAS  las firmas puestas al pie del presente escrito y que se leen</w:t>
      </w:r>
      <w:r w:rsidR="00380352">
        <w:t xml:space="preserve"> </w:t>
      </w:r>
      <w:r w:rsidR="0059214E">
        <w:t xml:space="preserve">la primera “I. E. Molina” y la segunda “M. Vásquez” por haber sido puestas de su puño y letra a mi presencia por la señorita </w:t>
      </w:r>
      <w:proofErr w:type="spellStart"/>
      <w:r w:rsidR="0059214E">
        <w:t>Iliana</w:t>
      </w:r>
      <w:proofErr w:type="spellEnd"/>
      <w:r w:rsidR="0059214E">
        <w:t xml:space="preserve"> Elizabeth Molina Magaña y  Milagro del Carmen Vásquez Santos, la primera de veintiséis años de edad y la segunda de veintiocho años de edad , ambas licenciadas en </w:t>
      </w:r>
      <w:r w:rsidR="00380352">
        <w:t>Contaduría</w:t>
      </w:r>
      <w:r w:rsidR="0059214E">
        <w:t xml:space="preserve"> </w:t>
      </w:r>
      <w:r w:rsidR="00380352">
        <w:t>Pública</w:t>
      </w:r>
      <w:r w:rsidR="0059214E">
        <w:t xml:space="preserve">  y de este domicilio respectivamente, personas a quie</w:t>
      </w:r>
      <w:r w:rsidR="00380352">
        <w:t xml:space="preserve">nes conozco y además me cercioró </w:t>
      </w:r>
      <w:r w:rsidR="00BC4AEB">
        <w:t>que son portadoras con el numero de Documento Único de Identidad numero 07152349-3 y la segunda de con Documento Único de Identidad numero 05466852-3</w:t>
      </w:r>
    </w:p>
    <w:p w:rsidR="00BC4AEB" w:rsidRDefault="00BC4AEB" w:rsidP="00F96A97">
      <w:pPr>
        <w:jc w:val="both"/>
      </w:pPr>
    </w:p>
    <w:p w:rsidR="0044299D" w:rsidRDefault="00BC4AEB" w:rsidP="00F96A97">
      <w:pPr>
        <w:jc w:val="both"/>
      </w:pPr>
      <w:r>
        <w:t>San Salvador, tres de Octubre de dos mil dos.</w:t>
      </w:r>
    </w:p>
    <w:p w:rsidR="0044299D" w:rsidRDefault="0044299D" w:rsidP="00F96A97">
      <w:pPr>
        <w:jc w:val="both"/>
      </w:pPr>
    </w:p>
    <w:sectPr w:rsidR="0044299D" w:rsidSect="00D02D14">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354A" w:rsidRDefault="000F354A" w:rsidP="00693F9C">
      <w:pPr>
        <w:spacing w:after="0" w:line="240" w:lineRule="auto"/>
      </w:pPr>
      <w:r>
        <w:separator/>
      </w:r>
    </w:p>
  </w:endnote>
  <w:endnote w:type="continuationSeparator" w:id="0">
    <w:p w:rsidR="000F354A" w:rsidRDefault="000F354A" w:rsidP="00693F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354A" w:rsidRDefault="000F354A" w:rsidP="00693F9C">
      <w:pPr>
        <w:spacing w:after="0" w:line="240" w:lineRule="auto"/>
      </w:pPr>
      <w:r>
        <w:separator/>
      </w:r>
    </w:p>
  </w:footnote>
  <w:footnote w:type="continuationSeparator" w:id="0">
    <w:p w:rsidR="000F354A" w:rsidRDefault="000F354A" w:rsidP="00693F9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4168"/>
    <w:multiLevelType w:val="hybridMultilevel"/>
    <w:tmpl w:val="0DE42566"/>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5F5399C"/>
    <w:multiLevelType w:val="hybridMultilevel"/>
    <w:tmpl w:val="B2FCF0DC"/>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1ECF16FA"/>
    <w:multiLevelType w:val="hybridMultilevel"/>
    <w:tmpl w:val="EA56970E"/>
    <w:lvl w:ilvl="0" w:tplc="17E2A8C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66C39BC"/>
    <w:multiLevelType w:val="hybridMultilevel"/>
    <w:tmpl w:val="B3F096AE"/>
    <w:lvl w:ilvl="0" w:tplc="7F684D16">
      <w:start w:val="1"/>
      <w:numFmt w:val="decimal"/>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4">
    <w:nsid w:val="34027099"/>
    <w:multiLevelType w:val="hybridMultilevel"/>
    <w:tmpl w:val="EC4A8E5A"/>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39694210"/>
    <w:multiLevelType w:val="hybridMultilevel"/>
    <w:tmpl w:val="52B07DB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50803D9"/>
    <w:multiLevelType w:val="hybridMultilevel"/>
    <w:tmpl w:val="F2C87B50"/>
    <w:lvl w:ilvl="0" w:tplc="3FB0CF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0749BA"/>
    <w:multiLevelType w:val="hybridMultilevel"/>
    <w:tmpl w:val="F4AC27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1277D59"/>
    <w:multiLevelType w:val="hybridMultilevel"/>
    <w:tmpl w:val="265E55B6"/>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9">
    <w:nsid w:val="53C2070F"/>
    <w:multiLevelType w:val="hybridMultilevel"/>
    <w:tmpl w:val="CFA6975E"/>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59555F57"/>
    <w:multiLevelType w:val="hybridMultilevel"/>
    <w:tmpl w:val="51243B62"/>
    <w:lvl w:ilvl="0" w:tplc="AB5EC552">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7AD9203C"/>
    <w:multiLevelType w:val="hybridMultilevel"/>
    <w:tmpl w:val="1DE05C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D63C26"/>
    <w:multiLevelType w:val="hybridMultilevel"/>
    <w:tmpl w:val="DAD835C2"/>
    <w:lvl w:ilvl="0" w:tplc="EFC03634">
      <w:start w:val="1"/>
      <w:numFmt w:val="lowerLetter"/>
      <w:lvlText w:val="%1)"/>
      <w:lvlJc w:val="left"/>
      <w:pPr>
        <w:ind w:left="1800" w:hanging="360"/>
      </w:pPr>
      <w:rPr>
        <w:rFonts w:hint="default"/>
      </w:rPr>
    </w:lvl>
    <w:lvl w:ilvl="1" w:tplc="440A0019" w:tentative="1">
      <w:start w:val="1"/>
      <w:numFmt w:val="lowerLetter"/>
      <w:lvlText w:val="%2."/>
      <w:lvlJc w:val="left"/>
      <w:pPr>
        <w:ind w:left="2520" w:hanging="360"/>
      </w:pPr>
    </w:lvl>
    <w:lvl w:ilvl="2" w:tplc="440A001B" w:tentative="1">
      <w:start w:val="1"/>
      <w:numFmt w:val="lowerRoman"/>
      <w:lvlText w:val="%3."/>
      <w:lvlJc w:val="right"/>
      <w:pPr>
        <w:ind w:left="3240" w:hanging="180"/>
      </w:pPr>
    </w:lvl>
    <w:lvl w:ilvl="3" w:tplc="440A000F" w:tentative="1">
      <w:start w:val="1"/>
      <w:numFmt w:val="decimal"/>
      <w:lvlText w:val="%4."/>
      <w:lvlJc w:val="left"/>
      <w:pPr>
        <w:ind w:left="3960" w:hanging="360"/>
      </w:pPr>
    </w:lvl>
    <w:lvl w:ilvl="4" w:tplc="440A0019" w:tentative="1">
      <w:start w:val="1"/>
      <w:numFmt w:val="lowerLetter"/>
      <w:lvlText w:val="%5."/>
      <w:lvlJc w:val="left"/>
      <w:pPr>
        <w:ind w:left="4680" w:hanging="360"/>
      </w:pPr>
    </w:lvl>
    <w:lvl w:ilvl="5" w:tplc="440A001B" w:tentative="1">
      <w:start w:val="1"/>
      <w:numFmt w:val="lowerRoman"/>
      <w:lvlText w:val="%6."/>
      <w:lvlJc w:val="right"/>
      <w:pPr>
        <w:ind w:left="5400" w:hanging="180"/>
      </w:pPr>
    </w:lvl>
    <w:lvl w:ilvl="6" w:tplc="440A000F" w:tentative="1">
      <w:start w:val="1"/>
      <w:numFmt w:val="decimal"/>
      <w:lvlText w:val="%7."/>
      <w:lvlJc w:val="left"/>
      <w:pPr>
        <w:ind w:left="6120" w:hanging="360"/>
      </w:pPr>
    </w:lvl>
    <w:lvl w:ilvl="7" w:tplc="440A0019" w:tentative="1">
      <w:start w:val="1"/>
      <w:numFmt w:val="lowerLetter"/>
      <w:lvlText w:val="%8."/>
      <w:lvlJc w:val="left"/>
      <w:pPr>
        <w:ind w:left="6840" w:hanging="360"/>
      </w:pPr>
    </w:lvl>
    <w:lvl w:ilvl="8" w:tplc="440A001B" w:tentative="1">
      <w:start w:val="1"/>
      <w:numFmt w:val="lowerRoman"/>
      <w:lvlText w:val="%9."/>
      <w:lvlJc w:val="right"/>
      <w:pPr>
        <w:ind w:left="7560" w:hanging="180"/>
      </w:pPr>
    </w:lvl>
  </w:abstractNum>
  <w:num w:numId="1">
    <w:abstractNumId w:val="10"/>
  </w:num>
  <w:num w:numId="2">
    <w:abstractNumId w:val="3"/>
  </w:num>
  <w:num w:numId="3">
    <w:abstractNumId w:val="12"/>
  </w:num>
  <w:num w:numId="4">
    <w:abstractNumId w:val="2"/>
  </w:num>
  <w:num w:numId="5">
    <w:abstractNumId w:val="9"/>
  </w:num>
  <w:num w:numId="6">
    <w:abstractNumId w:val="0"/>
  </w:num>
  <w:num w:numId="7">
    <w:abstractNumId w:val="1"/>
  </w:num>
  <w:num w:numId="8">
    <w:abstractNumId w:val="7"/>
  </w:num>
  <w:num w:numId="9">
    <w:abstractNumId w:val="5"/>
  </w:num>
  <w:num w:numId="10">
    <w:abstractNumId w:val="8"/>
  </w:num>
  <w:num w:numId="11">
    <w:abstractNumId w:val="4"/>
  </w:num>
  <w:num w:numId="12">
    <w:abstractNumId w:val="6"/>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D77B5F"/>
    <w:rsid w:val="00063A1A"/>
    <w:rsid w:val="000C0205"/>
    <w:rsid w:val="000F354A"/>
    <w:rsid w:val="001A3D67"/>
    <w:rsid w:val="002110ED"/>
    <w:rsid w:val="002323DE"/>
    <w:rsid w:val="002732C9"/>
    <w:rsid w:val="00314E04"/>
    <w:rsid w:val="00380352"/>
    <w:rsid w:val="003D2BD6"/>
    <w:rsid w:val="0044299D"/>
    <w:rsid w:val="00450BBB"/>
    <w:rsid w:val="004A3D9A"/>
    <w:rsid w:val="0059214E"/>
    <w:rsid w:val="005B4D1F"/>
    <w:rsid w:val="00642FB2"/>
    <w:rsid w:val="00690713"/>
    <w:rsid w:val="00693F9C"/>
    <w:rsid w:val="006D6509"/>
    <w:rsid w:val="007B2809"/>
    <w:rsid w:val="00801324"/>
    <w:rsid w:val="00886A00"/>
    <w:rsid w:val="00937B3C"/>
    <w:rsid w:val="00A03FA6"/>
    <w:rsid w:val="00A2521C"/>
    <w:rsid w:val="00A416D9"/>
    <w:rsid w:val="00B01307"/>
    <w:rsid w:val="00B34B4F"/>
    <w:rsid w:val="00B5759C"/>
    <w:rsid w:val="00B83A72"/>
    <w:rsid w:val="00B967A0"/>
    <w:rsid w:val="00BC4AEB"/>
    <w:rsid w:val="00C56D8F"/>
    <w:rsid w:val="00D02D14"/>
    <w:rsid w:val="00D77B5F"/>
    <w:rsid w:val="00EC12A6"/>
    <w:rsid w:val="00F243C0"/>
    <w:rsid w:val="00F96A97"/>
    <w:rsid w:val="00FF37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FA6"/>
  </w:style>
  <w:style w:type="paragraph" w:styleId="Heading1">
    <w:name w:val="heading 1"/>
    <w:basedOn w:val="Normal"/>
    <w:next w:val="Normal"/>
    <w:link w:val="Heading1Char"/>
    <w:uiPriority w:val="9"/>
    <w:qFormat/>
    <w:rsid w:val="0044299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429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4299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B5F"/>
    <w:pPr>
      <w:ind w:left="720"/>
      <w:contextualSpacing/>
    </w:pPr>
  </w:style>
  <w:style w:type="character" w:customStyle="1" w:styleId="Heading1Char">
    <w:name w:val="Heading 1 Char"/>
    <w:basedOn w:val="DefaultParagraphFont"/>
    <w:link w:val="Heading1"/>
    <w:uiPriority w:val="9"/>
    <w:rsid w:val="0044299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4299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44299D"/>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D02D14"/>
    <w:pPr>
      <w:outlineLvl w:val="9"/>
    </w:pPr>
    <w:rPr>
      <w:lang w:val="es-ES"/>
    </w:rPr>
  </w:style>
  <w:style w:type="paragraph" w:styleId="TOC1">
    <w:name w:val="toc 1"/>
    <w:basedOn w:val="Normal"/>
    <w:next w:val="Normal"/>
    <w:autoRedefine/>
    <w:uiPriority w:val="39"/>
    <w:unhideWhenUsed/>
    <w:rsid w:val="00D02D14"/>
    <w:pPr>
      <w:spacing w:after="100"/>
    </w:pPr>
  </w:style>
  <w:style w:type="paragraph" w:styleId="TOC2">
    <w:name w:val="toc 2"/>
    <w:basedOn w:val="Normal"/>
    <w:next w:val="Normal"/>
    <w:autoRedefine/>
    <w:uiPriority w:val="39"/>
    <w:unhideWhenUsed/>
    <w:rsid w:val="00D02D14"/>
    <w:pPr>
      <w:spacing w:after="100"/>
      <w:ind w:left="220"/>
    </w:pPr>
  </w:style>
  <w:style w:type="paragraph" w:styleId="TOC3">
    <w:name w:val="toc 3"/>
    <w:basedOn w:val="Normal"/>
    <w:next w:val="Normal"/>
    <w:autoRedefine/>
    <w:uiPriority w:val="39"/>
    <w:unhideWhenUsed/>
    <w:rsid w:val="00D02D14"/>
    <w:pPr>
      <w:spacing w:after="100"/>
      <w:ind w:left="440"/>
    </w:pPr>
  </w:style>
  <w:style w:type="character" w:styleId="Hyperlink">
    <w:name w:val="Hyperlink"/>
    <w:basedOn w:val="DefaultParagraphFont"/>
    <w:uiPriority w:val="99"/>
    <w:unhideWhenUsed/>
    <w:rsid w:val="00D02D14"/>
    <w:rPr>
      <w:color w:val="0000FF" w:themeColor="hyperlink"/>
      <w:u w:val="single"/>
    </w:rPr>
  </w:style>
  <w:style w:type="paragraph" w:styleId="BalloonText">
    <w:name w:val="Balloon Text"/>
    <w:basedOn w:val="Normal"/>
    <w:link w:val="BalloonTextChar"/>
    <w:uiPriority w:val="99"/>
    <w:semiHidden/>
    <w:unhideWhenUsed/>
    <w:rsid w:val="00D02D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2D14"/>
    <w:rPr>
      <w:rFonts w:ascii="Tahoma" w:hAnsi="Tahoma" w:cs="Tahoma"/>
      <w:sz w:val="16"/>
      <w:szCs w:val="16"/>
    </w:rPr>
  </w:style>
  <w:style w:type="paragraph" w:styleId="Header">
    <w:name w:val="header"/>
    <w:basedOn w:val="Normal"/>
    <w:link w:val="HeaderChar"/>
    <w:uiPriority w:val="99"/>
    <w:semiHidden/>
    <w:unhideWhenUsed/>
    <w:rsid w:val="00693F9C"/>
    <w:pPr>
      <w:tabs>
        <w:tab w:val="center" w:pos="4419"/>
        <w:tab w:val="right" w:pos="8838"/>
      </w:tabs>
      <w:spacing w:after="0" w:line="240" w:lineRule="auto"/>
    </w:pPr>
  </w:style>
  <w:style w:type="character" w:customStyle="1" w:styleId="HeaderChar">
    <w:name w:val="Header Char"/>
    <w:basedOn w:val="DefaultParagraphFont"/>
    <w:link w:val="Header"/>
    <w:uiPriority w:val="99"/>
    <w:semiHidden/>
    <w:rsid w:val="00693F9C"/>
  </w:style>
  <w:style w:type="paragraph" w:styleId="Footer">
    <w:name w:val="footer"/>
    <w:basedOn w:val="Normal"/>
    <w:link w:val="FooterChar"/>
    <w:uiPriority w:val="99"/>
    <w:semiHidden/>
    <w:unhideWhenUsed/>
    <w:rsid w:val="00693F9C"/>
    <w:pPr>
      <w:tabs>
        <w:tab w:val="center" w:pos="4419"/>
        <w:tab w:val="right" w:pos="8838"/>
      </w:tabs>
      <w:spacing w:after="0" w:line="240" w:lineRule="auto"/>
    </w:pPr>
  </w:style>
  <w:style w:type="character" w:customStyle="1" w:styleId="FooterChar">
    <w:name w:val="Footer Char"/>
    <w:basedOn w:val="DefaultParagraphFont"/>
    <w:link w:val="Footer"/>
    <w:uiPriority w:val="99"/>
    <w:semiHidden/>
    <w:rsid w:val="00693F9C"/>
  </w:style>
  <w:style w:type="table" w:styleId="TableGrid">
    <w:name w:val="Table Grid"/>
    <w:basedOn w:val="TableNormal"/>
    <w:uiPriority w:val="59"/>
    <w:rsid w:val="00EC12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ediumShading1-Accent5">
    <w:name w:val="Medium Shading 1 Accent 5"/>
    <w:basedOn w:val="TableNormal"/>
    <w:uiPriority w:val="63"/>
    <w:rsid w:val="00380352"/>
    <w:pPr>
      <w:spacing w:after="0" w:line="240" w:lineRule="auto"/>
    </w:pPr>
    <w:rPr>
      <w:lang w:val="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02292-610C-46F2-BD51-C5524A90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8</Pages>
  <Words>2225</Words>
  <Characters>12689</Characters>
  <Application>Microsoft Office Word</Application>
  <DocSecurity>0</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14885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Patty HC</dc:creator>
  <cp:lastModifiedBy>user</cp:lastModifiedBy>
  <cp:revision>16</cp:revision>
  <dcterms:created xsi:type="dcterms:W3CDTF">2013-11-23T04:02:00Z</dcterms:created>
  <dcterms:modified xsi:type="dcterms:W3CDTF">2013-11-25T20:22:00Z</dcterms:modified>
</cp:coreProperties>
</file>