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08B" w:rsidRPr="00BD4944" w:rsidRDefault="0099008B" w:rsidP="00BD4944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99008B" w:rsidRPr="00BD4944" w:rsidRDefault="006D0019" w:rsidP="00BD4944">
      <w:pPr>
        <w:pStyle w:val="Default"/>
        <w:spacing w:line="276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BD4944">
        <w:rPr>
          <w:rFonts w:ascii="Arial" w:hAnsi="Arial" w:cs="Arial"/>
          <w:b/>
          <w:bCs/>
          <w:color w:val="auto"/>
          <w:sz w:val="20"/>
          <w:szCs w:val="20"/>
        </w:rPr>
        <w:t xml:space="preserve">PRECIO DE TRANSFERENCIA </w:t>
      </w:r>
    </w:p>
    <w:p w:rsidR="006F3901" w:rsidRPr="00BD4944" w:rsidRDefault="0099008B" w:rsidP="00BD4944">
      <w:pPr>
        <w:jc w:val="both"/>
        <w:rPr>
          <w:rFonts w:ascii="Arial" w:hAnsi="Arial" w:cs="Arial"/>
          <w:iCs/>
          <w:sz w:val="20"/>
          <w:szCs w:val="20"/>
        </w:rPr>
      </w:pPr>
      <w:r w:rsidRPr="00BD4944">
        <w:rPr>
          <w:rFonts w:ascii="Arial" w:hAnsi="Arial" w:cs="Arial"/>
          <w:iCs/>
          <w:sz w:val="20"/>
          <w:szCs w:val="20"/>
        </w:rPr>
        <w:t>El precio pactado en la transferencia de bienes tangibles o intangibles, prestación de servicios, o cualquier otra operación realizada entre entidades o sujetos relacionados</w:t>
      </w:r>
      <w:r w:rsidR="008F274E" w:rsidRPr="00BD4944">
        <w:rPr>
          <w:rFonts w:ascii="Arial" w:hAnsi="Arial" w:cs="Arial"/>
          <w:iCs/>
          <w:sz w:val="20"/>
          <w:szCs w:val="20"/>
        </w:rPr>
        <w:t>.</w:t>
      </w:r>
    </w:p>
    <w:p w:rsidR="007C4379" w:rsidRPr="00BD4944" w:rsidRDefault="007C4379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D4944">
        <w:rPr>
          <w:rFonts w:ascii="Arial" w:hAnsi="Arial" w:cs="Arial"/>
          <w:b/>
          <w:sz w:val="20"/>
          <w:szCs w:val="20"/>
        </w:rPr>
        <w:t xml:space="preserve">Estimación de la Base Imponible </w:t>
      </w:r>
    </w:p>
    <w:p w:rsidR="007C4379" w:rsidRPr="00BD4944" w:rsidRDefault="007C4379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 xml:space="preserve">Artículo 199-A. Se faculta a la Administración Tributaria para efectuar la estimación de la base imponible del Impuesto a la Transferencia de Bienes Muebles y a la Prestación de Servicios, si por cualquier razón el precio de la transferencia de bienes muebles corporales o el monto de la remuneración de la prestación de servicios no fueren fidedignos o resultaren inferiores o superiores al corriente de mercado, sea que se trate de bienes gravados, exentos o no afectos al referido impuesto, respectivamente, o no se hubieran emitido los documentos a que se refiere este Código o las leyes tributarias correspondientes, o el valor de las operaciones no estuviere determinado o no fuere o no pudiere ser conocido. </w:t>
      </w:r>
    </w:p>
    <w:p w:rsidR="007C4379" w:rsidRPr="00BD4944" w:rsidRDefault="007C4379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Para efectos del Impuesto sobre la Renta, la Administración Tributaria podrá valorar a precios de</w:t>
      </w:r>
      <w:r w:rsidR="00F96B90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 xml:space="preserve">mercado las operaciones para determinar la renta y deducciones, cuando éstas resulten ser inferiores o superiores a los precios de mercado.  . </w:t>
      </w:r>
    </w:p>
    <w:p w:rsidR="007C4379" w:rsidRPr="00BD4944" w:rsidRDefault="007C4379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7C4379" w:rsidRPr="00BD4944" w:rsidRDefault="00FB5156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D4944">
        <w:rPr>
          <w:rFonts w:ascii="Arial" w:hAnsi="Arial" w:cs="Arial"/>
          <w:b/>
          <w:sz w:val="20"/>
          <w:szCs w:val="20"/>
        </w:rPr>
        <w:t xml:space="preserve">Precio de Mercado </w:t>
      </w:r>
    </w:p>
    <w:p w:rsidR="007C4379" w:rsidRPr="00BD4944" w:rsidRDefault="007C4379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 xml:space="preserve">Artículo 199-B. </w:t>
      </w:r>
      <w:r w:rsidR="00FB5156" w:rsidRPr="00BD4944">
        <w:rPr>
          <w:rFonts w:ascii="Arial" w:hAnsi="Arial" w:cs="Arial"/>
          <w:sz w:val="20"/>
          <w:szCs w:val="20"/>
        </w:rPr>
        <w:t xml:space="preserve">precio de mercado son </w:t>
      </w:r>
      <w:r w:rsidRPr="00BD4944">
        <w:rPr>
          <w:rFonts w:ascii="Arial" w:hAnsi="Arial" w:cs="Arial"/>
          <w:sz w:val="20"/>
          <w:szCs w:val="20"/>
        </w:rPr>
        <w:t>las operaciones locales, el precio de venta que tengan los bienes o servicios, en negocios o establecimientos</w:t>
      </w:r>
      <w:r w:rsidR="00FB5156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ubicados en el país no relacionados con el fiscalizado, que transfieran bienes o presten servicios de la misma</w:t>
      </w:r>
      <w:r w:rsidR="00FB5156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especie.</w:t>
      </w:r>
    </w:p>
    <w:p w:rsidR="007C4379" w:rsidRPr="00BD4944" w:rsidRDefault="007C4379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En transferencias de bienes o prestaciones de servicios al exterior el precio de mercado lo constituirá, el</w:t>
      </w:r>
      <w:r w:rsidR="000C0F16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precio al que otros sujetos distintos al fiscalizado y no relacionados con éste hayan transferido bienes o</w:t>
      </w:r>
      <w:r w:rsidR="000C0F16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prestado servicios de la misma especie, desde El Salvad</w:t>
      </w:r>
      <w:r w:rsidR="000C0F16" w:rsidRPr="00BD4944">
        <w:rPr>
          <w:rFonts w:ascii="Arial" w:hAnsi="Arial" w:cs="Arial"/>
          <w:sz w:val="20"/>
          <w:szCs w:val="20"/>
        </w:rPr>
        <w:t xml:space="preserve">or al mismo país de destino. </w:t>
      </w:r>
      <w:r w:rsidRPr="00BD4944">
        <w:rPr>
          <w:rFonts w:ascii="Arial" w:hAnsi="Arial" w:cs="Arial"/>
          <w:sz w:val="20"/>
          <w:szCs w:val="20"/>
        </w:rPr>
        <w:t>En el caso de las importaciones el precio de mercado lo constituirá, el precio que tengan los bienes o</w:t>
      </w:r>
      <w:r w:rsidR="000C0F16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servicios de la misma especie en negocios o establecimientos no relacionados con el sujeto fiscalizado, en el</w:t>
      </w:r>
      <w:r w:rsidR="000C0F16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país en el que haya sido adquirido el bien o el servicio, más los costos o gastos de transporte, cuando</w:t>
      </w:r>
      <w:r w:rsidR="000C0F16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proceda.</w:t>
      </w:r>
    </w:p>
    <w:p w:rsidR="007C4379" w:rsidRPr="00BD4944" w:rsidRDefault="007C4379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Para establecer el precio de mercado, cuando haya más de tres oferentes de los bienes o servicios,</w:t>
      </w:r>
      <w:r w:rsidR="009F23B6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bastará para efectos determinativos, la información de precios de tres oferentes, de los cuales se adoptará</w:t>
      </w:r>
      <w:r w:rsidR="009F23B6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para es</w:t>
      </w:r>
      <w:r w:rsidR="009F23B6" w:rsidRPr="00BD4944">
        <w:rPr>
          <w:rFonts w:ascii="Arial" w:hAnsi="Arial" w:cs="Arial"/>
          <w:sz w:val="20"/>
          <w:szCs w:val="20"/>
        </w:rPr>
        <w:t xml:space="preserve">os fines un precio promedio. </w:t>
      </w:r>
    </w:p>
    <w:p w:rsidR="00627EBB" w:rsidRPr="00BD4944" w:rsidRDefault="00627EBB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627EBB" w:rsidRPr="00BD4944" w:rsidRDefault="00627EBB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D4944">
        <w:rPr>
          <w:rFonts w:ascii="Arial" w:hAnsi="Arial" w:cs="Arial"/>
          <w:b/>
          <w:sz w:val="20"/>
          <w:szCs w:val="20"/>
        </w:rPr>
        <w:t>Determinación de Precios</w:t>
      </w:r>
    </w:p>
    <w:p w:rsidR="00627EBB" w:rsidRPr="00BD4944" w:rsidRDefault="00627EBB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 xml:space="preserve">Artículo 62-A. </w:t>
      </w:r>
      <w:r w:rsidR="00E40CD3" w:rsidRPr="00BD4944">
        <w:rPr>
          <w:rFonts w:ascii="Arial" w:hAnsi="Arial" w:cs="Arial"/>
          <w:sz w:val="20"/>
          <w:szCs w:val="20"/>
        </w:rPr>
        <w:t>L</w:t>
      </w:r>
      <w:r w:rsidRPr="00BD4944">
        <w:rPr>
          <w:rFonts w:ascii="Arial" w:hAnsi="Arial" w:cs="Arial"/>
          <w:sz w:val="20"/>
          <w:szCs w:val="20"/>
        </w:rPr>
        <w:t>os contribuyentes que celebren operaciones o transacciones con</w:t>
      </w:r>
      <w:r w:rsidR="00E40CD3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sujetos relacionados, estarán obligados a determinar los precios y montos de las contraprestaciones,</w:t>
      </w:r>
      <w:r w:rsidR="00E40CD3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considerando para esas operaciones los precios de mercado utilizados en transferencias de bienes o</w:t>
      </w:r>
      <w:r w:rsidR="00E40CD3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prestación de servicios de la misma especie, entre sujetos independientes. Igualmente los contribuyentes</w:t>
      </w:r>
      <w:r w:rsidR="00E40CD3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deberán determinar a precios de mercado las operaciones o transacciones que se celebren con sujetos</w:t>
      </w:r>
      <w:r w:rsidR="00E40CD3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domiciliados, constituidos o ubicados en países, estados o territorios con regímenes fiscales preferentes, de</w:t>
      </w:r>
      <w:r w:rsidR="00E40CD3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baja o nula tribu</w:t>
      </w:r>
      <w:r w:rsidR="00E40CD3" w:rsidRPr="00BD4944">
        <w:rPr>
          <w:rFonts w:ascii="Arial" w:hAnsi="Arial" w:cs="Arial"/>
          <w:sz w:val="20"/>
          <w:szCs w:val="20"/>
        </w:rPr>
        <w:t xml:space="preserve">tación o paraísos fiscales. </w:t>
      </w:r>
    </w:p>
    <w:p w:rsidR="00627EBB" w:rsidRDefault="00627EBB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Cuando los contribuyentes incumplan las obligaciones reguladas en el inciso anterior, la Administración</w:t>
      </w:r>
      <w:r w:rsidR="002055E5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Tributaria de conformidad con lo dispuesto en los artículos 199-A, 199-B, 199-C y 199-D de este Código,</w:t>
      </w:r>
      <w:r w:rsidR="002055E5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determinará el valor de dichas operaciones o transacciones, estableciendo el precio o monto de la</w:t>
      </w:r>
      <w:r w:rsidR="002055E5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contraprestación, considerando para esas operaciones los precios de mercado utilizados en transferencias de</w:t>
      </w:r>
      <w:r w:rsidR="002055E5" w:rsidRP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bienes o prestación de servicios de la misma especie, en</w:t>
      </w:r>
      <w:r w:rsidR="002055E5" w:rsidRPr="00BD4944">
        <w:rPr>
          <w:rFonts w:ascii="Arial" w:hAnsi="Arial" w:cs="Arial"/>
          <w:sz w:val="20"/>
          <w:szCs w:val="20"/>
        </w:rPr>
        <w:t xml:space="preserve">tre sujetos independientes. </w:t>
      </w:r>
    </w:p>
    <w:p w:rsidR="00BD4944" w:rsidRPr="00BD4944" w:rsidRDefault="00BD4944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D4944">
        <w:rPr>
          <w:rFonts w:ascii="Arial" w:hAnsi="Arial" w:cs="Arial"/>
          <w:b/>
          <w:sz w:val="20"/>
          <w:szCs w:val="20"/>
        </w:rPr>
        <w:lastRenderedPageBreak/>
        <w:t>Informe de Operaciones con Sujetos</w:t>
      </w:r>
      <w:r w:rsidR="00BD4944" w:rsidRPr="00BD4944">
        <w:rPr>
          <w:rFonts w:ascii="Arial" w:hAnsi="Arial" w:cs="Arial"/>
          <w:b/>
          <w:sz w:val="20"/>
          <w:szCs w:val="20"/>
        </w:rPr>
        <w:t xml:space="preserve"> Relacionados.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Artículo 124-A. Los contribuyentes que celebren operaciones con sujetos relacionados o sujetos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domiciliados, constituidos o ubicados en países, estados o territorios con regímenes fiscales preferentes, de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baja o nula tributación o paraísos fiscales durante un ejercicio fiscal, y tales operaciones ya sea en forma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individual o conjunta sean iguales o superiores a quinientos setenta y un mil cuatrocientos veintinueve dólares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de los Estados Unidos de América ($571,429.00), deberán presentar un Informe de las operaciones que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ejecute con dichos sujetos, a través de los formularios que proporcione la Administración Tributaria con los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requisitos y especificaciones técnicas que ést</w:t>
      </w:r>
      <w:r w:rsidR="00BD4944">
        <w:rPr>
          <w:rFonts w:ascii="Arial" w:hAnsi="Arial" w:cs="Arial"/>
          <w:sz w:val="20"/>
          <w:szCs w:val="20"/>
        </w:rPr>
        <w:t xml:space="preserve">a disponga para tal efecto. </w:t>
      </w:r>
    </w:p>
    <w:p w:rsidR="00C3574D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La presentación del Informe deberá realizarse a más tardar dentro de los tres primeros meses siguientes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de fina</w:t>
      </w:r>
      <w:r w:rsidR="00BD4944">
        <w:rPr>
          <w:rFonts w:ascii="Arial" w:hAnsi="Arial" w:cs="Arial"/>
          <w:sz w:val="20"/>
          <w:szCs w:val="20"/>
        </w:rPr>
        <w:t xml:space="preserve">lizado el ejercicio fiscal. </w:t>
      </w:r>
    </w:p>
    <w:p w:rsidR="000D3801" w:rsidRPr="00BD4944" w:rsidRDefault="000D3801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Mediante los formularios que proporcione la Administración Tributaria con los requisitos y especificaciones técnicas que esta disponga para tal efecto.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BE5065" w:rsidRPr="00BD4944" w:rsidRDefault="00BD4944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D4944">
        <w:rPr>
          <w:rFonts w:ascii="Arial" w:hAnsi="Arial" w:cs="Arial"/>
          <w:b/>
          <w:sz w:val="20"/>
          <w:szCs w:val="20"/>
        </w:rPr>
        <w:t xml:space="preserve">Sujetos Relacionados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Artículo 199-C.- Para efectos de lo dispuesto en este Código y demás leyes tributarias se entenderá como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sujetos relaciona</w:t>
      </w:r>
      <w:r w:rsidR="00BD4944">
        <w:rPr>
          <w:rFonts w:ascii="Arial" w:hAnsi="Arial" w:cs="Arial"/>
          <w:sz w:val="20"/>
          <w:szCs w:val="20"/>
        </w:rPr>
        <w:t xml:space="preserve">dos: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a) Cuando uno de ellos dirija o controle la otra, o posea, directa o indirectamente, al menos el 25% de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su capital social</w:t>
      </w:r>
      <w:r w:rsidR="00BD4944">
        <w:rPr>
          <w:rFonts w:ascii="Arial" w:hAnsi="Arial" w:cs="Arial"/>
          <w:sz w:val="20"/>
          <w:szCs w:val="20"/>
        </w:rPr>
        <w:t xml:space="preserve"> o de sus derechos de voto.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b) Cuando cinco o menos personas dirijan o controlen ambas personas, o posean en su conjunto,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directa o indirectamente, al menos el 25% de participación en el capital social o los derechos de voto</w:t>
      </w:r>
      <w:r w:rsidR="00BD4944">
        <w:rPr>
          <w:rFonts w:ascii="Arial" w:hAnsi="Arial" w:cs="Arial"/>
          <w:sz w:val="20"/>
          <w:szCs w:val="20"/>
        </w:rPr>
        <w:t xml:space="preserve"> de ambas personas.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c) Cuando sean sociedades que pertenezcan a una misma unidad de decisión o grupo empresarial.</w:t>
      </w:r>
      <w:r w:rsidR="00BD4944">
        <w:rPr>
          <w:rFonts w:ascii="Arial" w:hAnsi="Arial" w:cs="Arial"/>
          <w:sz w:val="20"/>
          <w:szCs w:val="20"/>
        </w:rPr>
        <w:t xml:space="preserve">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D4944">
        <w:rPr>
          <w:rFonts w:ascii="Arial" w:hAnsi="Arial" w:cs="Arial"/>
          <w:b/>
          <w:sz w:val="20"/>
          <w:szCs w:val="20"/>
        </w:rPr>
        <w:t xml:space="preserve">Criterios de Comparabilidad. </w:t>
      </w:r>
      <w:r w:rsidR="00BD4944" w:rsidRPr="00BD4944">
        <w:rPr>
          <w:rFonts w:ascii="Arial" w:hAnsi="Arial" w:cs="Arial"/>
          <w:b/>
          <w:sz w:val="20"/>
          <w:szCs w:val="20"/>
        </w:rPr>
        <w:t xml:space="preserve">Eliminación de diferencias.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Artículo 199-D. Para establecer si los bienes o servicios son de la misma especie, a efecto de determinar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el precio de mercado, se procederá a comparar las características económicas relevantes de las operaciones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realizadas por el fiscalizado con otras operaciones realizadas entre partes independientes, para lo cual, se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tomarán en cuenta, según sea el cas</w:t>
      </w:r>
      <w:r w:rsidR="00BD4944">
        <w:rPr>
          <w:rFonts w:ascii="Arial" w:hAnsi="Arial" w:cs="Arial"/>
          <w:sz w:val="20"/>
          <w:szCs w:val="20"/>
        </w:rPr>
        <w:t xml:space="preserve">o, los siguientes factores: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1) Características de las operaciones efectuadas, sean estas transferencias de bienes materiales,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bienes intangibles o prestación de servici</w:t>
      </w:r>
      <w:r w:rsidR="00BD4944">
        <w:rPr>
          <w:rFonts w:ascii="Arial" w:hAnsi="Arial" w:cs="Arial"/>
          <w:sz w:val="20"/>
          <w:szCs w:val="20"/>
        </w:rPr>
        <w:t xml:space="preserve">os.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 xml:space="preserve">2) Análisis de las funciones o actividades desempeñadas, incluyendo los activos utilizados y 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riesgos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asumidos en las operaciones de cada una de las partes in</w:t>
      </w:r>
      <w:r w:rsidR="00BD4944">
        <w:rPr>
          <w:rFonts w:ascii="Arial" w:hAnsi="Arial" w:cs="Arial"/>
          <w:sz w:val="20"/>
          <w:szCs w:val="20"/>
        </w:rPr>
        <w:t xml:space="preserve">volucradas en la operación.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3) Términos contractuales o los que no se encuentren expresamente en ningún contrato, con los que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realmente se cumplen las transacciones entre partes rel</w:t>
      </w:r>
      <w:r w:rsidR="00BD4944">
        <w:rPr>
          <w:rFonts w:ascii="Arial" w:hAnsi="Arial" w:cs="Arial"/>
          <w:sz w:val="20"/>
          <w:szCs w:val="20"/>
        </w:rPr>
        <w:t xml:space="preserve">acionadas e independientes.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4)</w:t>
      </w:r>
      <w:r w:rsidR="00BD4944">
        <w:rPr>
          <w:rFonts w:ascii="Arial" w:hAnsi="Arial" w:cs="Arial"/>
          <w:sz w:val="20"/>
          <w:szCs w:val="20"/>
        </w:rPr>
        <w:t xml:space="preserve"> Circunstancias económicas. </w:t>
      </w:r>
    </w:p>
    <w:p w:rsidR="00BE5065" w:rsidRDefault="00BD4944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5) Estrategias de negocios. </w:t>
      </w:r>
    </w:p>
    <w:p w:rsidR="00BD4944" w:rsidRPr="00BD4944" w:rsidRDefault="00BD4944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BD4944">
        <w:rPr>
          <w:rFonts w:ascii="Arial" w:hAnsi="Arial" w:cs="Arial"/>
          <w:b/>
          <w:sz w:val="20"/>
          <w:szCs w:val="20"/>
        </w:rPr>
        <w:t>Obligaciones del Auditor.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Artículo 135.- Los Auditores deberán cumplir con las siguientes obligaciones:</w:t>
      </w:r>
    </w:p>
    <w:p w:rsidR="00BE5065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f) Reflejar en el Dictamen y en el Informe Fiscal, la situación tributaria del sujeto pasivo dictaminado,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incluyendo una nota o apartado que las operaciones entre sujetos relacionados o con sujetos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domiciliados, constituidos o ubicados en países, estados o territorios con regímenes fiscales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preferentes, de baja o nula tributación o paraísos fiscales cumplen con las leyes tributarias y el</w:t>
      </w:r>
      <w:r w:rsidR="00BD4944">
        <w:rPr>
          <w:rFonts w:ascii="Arial" w:hAnsi="Arial" w:cs="Arial"/>
          <w:sz w:val="20"/>
          <w:szCs w:val="20"/>
        </w:rPr>
        <w:t xml:space="preserve"> presente Código.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lastRenderedPageBreak/>
        <w:t>Para efectos tributarios, el número de autorización de auditor para emitir dictamen e informe fiscal de la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Administración Tributaria, será el mismo número que asigne el Consejo de Vigilancia de la Profesión de la</w:t>
      </w:r>
      <w:r w:rsidR="00BD4944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Contaduría Pública y Auditor</w:t>
      </w:r>
      <w:r w:rsidR="00BD4944">
        <w:rPr>
          <w:rFonts w:ascii="Arial" w:hAnsi="Arial" w:cs="Arial"/>
          <w:sz w:val="20"/>
          <w:szCs w:val="20"/>
        </w:rPr>
        <w:t xml:space="preserve">ía para el auditor externo. </w:t>
      </w:r>
    </w:p>
    <w:p w:rsidR="00BE5065" w:rsidRPr="00BD4944" w:rsidRDefault="00BE5065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462381" w:rsidRPr="00210110" w:rsidRDefault="00462381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10110">
        <w:rPr>
          <w:rFonts w:ascii="Arial" w:hAnsi="Arial" w:cs="Arial"/>
          <w:b/>
          <w:sz w:val="20"/>
          <w:szCs w:val="20"/>
        </w:rPr>
        <w:t>Obligaciones de conservar informaciones y pruebas.</w:t>
      </w:r>
    </w:p>
    <w:p w:rsidR="00BE5065" w:rsidRPr="00BD4944" w:rsidRDefault="00462381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Artículo 147.- Las personas o entidades, tengan o no el carácter de contribuyentes, responsables,</w:t>
      </w:r>
      <w:r w:rsidR="00210110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agentes de retención o percepción, auditores o contadores, deberán conservar en buen orden y estado, por</w:t>
      </w:r>
      <w:r w:rsidR="00210110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un período de diez años contados a partir de su emisión o recibo, la siguiente documentación, información y</w:t>
      </w:r>
      <w:r w:rsidR="00210110">
        <w:rPr>
          <w:rFonts w:ascii="Arial" w:hAnsi="Arial" w:cs="Arial"/>
          <w:sz w:val="20"/>
          <w:szCs w:val="20"/>
        </w:rPr>
        <w:t xml:space="preserve">  pruebas: </w:t>
      </w:r>
    </w:p>
    <w:p w:rsidR="00462381" w:rsidRPr="00BD4944" w:rsidRDefault="00462381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 xml:space="preserve">e) La documentación de las operaciones realizadas con sujetos relacionados o sujetos </w:t>
      </w:r>
      <w:r w:rsidR="00210110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domiciliados,</w:t>
      </w:r>
      <w:r w:rsidR="00210110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constituidos o ubicados en países, estados o territorios con regímenes fiscales preferentes, de baja o</w:t>
      </w:r>
      <w:r w:rsidR="00210110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nula tribu</w:t>
      </w:r>
      <w:r w:rsidR="00210110">
        <w:rPr>
          <w:rFonts w:ascii="Arial" w:hAnsi="Arial" w:cs="Arial"/>
          <w:sz w:val="20"/>
          <w:szCs w:val="20"/>
        </w:rPr>
        <w:t xml:space="preserve">tación o paraísos fiscales. </w:t>
      </w:r>
    </w:p>
    <w:p w:rsidR="00462381" w:rsidRPr="00BD4944" w:rsidRDefault="00462381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462381" w:rsidRPr="00210110" w:rsidRDefault="00462381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10110">
        <w:rPr>
          <w:rFonts w:ascii="Arial" w:hAnsi="Arial" w:cs="Arial"/>
          <w:b/>
          <w:sz w:val="20"/>
          <w:szCs w:val="20"/>
        </w:rPr>
        <w:t>Incumplimiento a otras obligaciones formales</w:t>
      </w:r>
    </w:p>
    <w:p w:rsidR="00462381" w:rsidRPr="00BD4944" w:rsidRDefault="00462381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Artículo 244.- Constituyen incumplimientos a otras Obligaciones formales:</w:t>
      </w:r>
    </w:p>
    <w:p w:rsidR="00462381" w:rsidRDefault="00462381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 xml:space="preserve">l) No presentar o presentar fuera del plazo legal o remitir sin las especificaciones contenidas en </w:t>
      </w:r>
      <w:r w:rsidR="00A73D4B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este</w:t>
      </w:r>
      <w:r w:rsidR="00A73D4B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Código o que disponga la Administración Tributaria en sus formularios, el Informe de Operaciones</w:t>
      </w:r>
      <w:r w:rsidR="00A73D4B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con sujetos Relacionados o sujetos domiciliados, constituidos o ubicados en países, estados o</w:t>
      </w:r>
      <w:r w:rsidR="00A73D4B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territorios con regímenes fiscales preferentes, de baja o nula tributación o paraísos fiscales. Sanción:</w:t>
      </w:r>
    </w:p>
    <w:p w:rsidR="00462381" w:rsidRPr="00BD4944" w:rsidRDefault="00462381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Multa del cero punto cinco por ciento sobre el patrimonio o capital contable que figure en el balance</w:t>
      </w:r>
      <w:r w:rsidR="00A73D4B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general menos el superávit por revalúo de activos no realizado, la que no podrá ser inferior a tres</w:t>
      </w:r>
      <w:r w:rsidR="00A73D4B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salarios mínimos mensuales. En cuanto al balance general a que alude este literal, también le será</w:t>
      </w:r>
      <w:r w:rsidR="00A73D4B">
        <w:rPr>
          <w:rFonts w:ascii="Arial" w:hAnsi="Arial" w:cs="Arial"/>
          <w:sz w:val="20"/>
          <w:szCs w:val="20"/>
        </w:rPr>
        <w:t xml:space="preserve"> </w:t>
      </w:r>
      <w:r w:rsidRPr="00BD4944">
        <w:rPr>
          <w:rFonts w:ascii="Arial" w:hAnsi="Arial" w:cs="Arial"/>
          <w:sz w:val="20"/>
          <w:szCs w:val="20"/>
        </w:rPr>
        <w:t>aplicable lo dispuesto en el inciso f</w:t>
      </w:r>
      <w:r w:rsidR="00A73D4B">
        <w:rPr>
          <w:rFonts w:ascii="Arial" w:hAnsi="Arial" w:cs="Arial"/>
          <w:sz w:val="20"/>
          <w:szCs w:val="20"/>
        </w:rPr>
        <w:t xml:space="preserve">inal del presente artículo. </w:t>
      </w:r>
    </w:p>
    <w:p w:rsidR="00462381" w:rsidRPr="00BD4944" w:rsidRDefault="00462381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462381" w:rsidRPr="00BD4944" w:rsidRDefault="00CA21DC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Obligaciones Tributarias</w:t>
      </w:r>
    </w:p>
    <w:p w:rsidR="00CA21DC" w:rsidRPr="00BD4944" w:rsidRDefault="00CA21DC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Obligaciones del contribuyente</w:t>
      </w:r>
    </w:p>
    <w:p w:rsidR="00CA21DC" w:rsidRPr="00BD4944" w:rsidRDefault="0047420D" w:rsidP="00BD49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Determinación</w:t>
      </w:r>
      <w:r w:rsidR="00CA21DC" w:rsidRPr="00BD4944">
        <w:rPr>
          <w:rFonts w:ascii="Arial" w:hAnsi="Arial" w:cs="Arial"/>
          <w:sz w:val="20"/>
          <w:szCs w:val="20"/>
        </w:rPr>
        <w:t xml:space="preserve"> de precios</w:t>
      </w:r>
    </w:p>
    <w:p w:rsidR="00CA21DC" w:rsidRPr="00BD4944" w:rsidRDefault="00CA21DC" w:rsidP="00BD49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Obligaciones formales precios de transferencia</w:t>
      </w:r>
    </w:p>
    <w:p w:rsidR="00CA21DC" w:rsidRPr="00BD4944" w:rsidRDefault="00CA21DC" w:rsidP="00BD49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Otras obligaciones tributarias PT´S</w:t>
      </w:r>
    </w:p>
    <w:p w:rsidR="00CA21DC" w:rsidRPr="00BD4944" w:rsidRDefault="00CA21DC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Obligaciones de Auditor</w:t>
      </w:r>
    </w:p>
    <w:p w:rsidR="00CA21DC" w:rsidRPr="00BD4944" w:rsidRDefault="00CA21DC" w:rsidP="00BD49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Sobre determinación de precios de transferencia</w:t>
      </w:r>
    </w:p>
    <w:p w:rsidR="00CA21DC" w:rsidRPr="00BD4944" w:rsidRDefault="00CA21DC" w:rsidP="00BD49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Sobre cumplimientos de obligaciones tributarias PT´S</w:t>
      </w:r>
    </w:p>
    <w:p w:rsidR="00CA21DC" w:rsidRPr="00BD4944" w:rsidRDefault="00CA21DC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CA21DC" w:rsidRPr="00BD4944" w:rsidRDefault="00CA21DC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Medidas adoptadas en El Salvador</w:t>
      </w:r>
    </w:p>
    <w:p w:rsidR="00CA21DC" w:rsidRPr="00BD4944" w:rsidRDefault="000C23F9" w:rsidP="00BD49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Convenios para evitar la doble imposición</w:t>
      </w:r>
    </w:p>
    <w:p w:rsidR="000C23F9" w:rsidRPr="00BD4944" w:rsidRDefault="000C23F9" w:rsidP="00BD49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Normativa legal</w:t>
      </w:r>
    </w:p>
    <w:p w:rsidR="00E72889" w:rsidRPr="00BD4944" w:rsidRDefault="000C23F9" w:rsidP="00BD49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Adición a foro legal sobre transparencia.</w:t>
      </w:r>
    </w:p>
    <w:p w:rsidR="000C23F9" w:rsidRPr="00BD4944" w:rsidRDefault="00E72889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Medidas en Proceso</w:t>
      </w:r>
    </w:p>
    <w:p w:rsidR="00E72889" w:rsidRPr="00BD4944" w:rsidRDefault="00E72889" w:rsidP="00BD49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>Convenio de intercambio de información</w:t>
      </w:r>
    </w:p>
    <w:p w:rsidR="00E72889" w:rsidRPr="00BD4944" w:rsidRDefault="00E72889" w:rsidP="00BD494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BD4944">
        <w:rPr>
          <w:rFonts w:ascii="Arial" w:hAnsi="Arial" w:cs="Arial"/>
          <w:sz w:val="20"/>
          <w:szCs w:val="20"/>
        </w:rPr>
        <w:t xml:space="preserve">Convenio de asistencia mutua y cooperación </w:t>
      </w:r>
      <w:r w:rsidR="0047420D" w:rsidRPr="00BD4944">
        <w:rPr>
          <w:rFonts w:ascii="Arial" w:hAnsi="Arial" w:cs="Arial"/>
          <w:sz w:val="20"/>
          <w:szCs w:val="20"/>
        </w:rPr>
        <w:t>Técnica</w:t>
      </w:r>
      <w:r w:rsidRPr="00BD4944">
        <w:rPr>
          <w:rFonts w:ascii="Arial" w:hAnsi="Arial" w:cs="Arial"/>
          <w:sz w:val="20"/>
          <w:szCs w:val="20"/>
        </w:rPr>
        <w:t>.</w:t>
      </w:r>
    </w:p>
    <w:p w:rsidR="00E72889" w:rsidRPr="00BD4944" w:rsidRDefault="00E72889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p w:rsidR="00CA21DC" w:rsidRPr="00BD4944" w:rsidRDefault="00CA21DC" w:rsidP="00BD494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</w:p>
    <w:sectPr w:rsidR="00CA21DC" w:rsidRPr="00BD4944" w:rsidSect="006F39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B3BD4"/>
    <w:multiLevelType w:val="hybridMultilevel"/>
    <w:tmpl w:val="85941BFC"/>
    <w:lvl w:ilvl="0" w:tplc="40EE7CF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9008B"/>
    <w:rsid w:val="000C0F16"/>
    <w:rsid w:val="000C23F9"/>
    <w:rsid w:val="000D3801"/>
    <w:rsid w:val="002055E5"/>
    <w:rsid w:val="00210110"/>
    <w:rsid w:val="00462381"/>
    <w:rsid w:val="0047420D"/>
    <w:rsid w:val="006269B2"/>
    <w:rsid w:val="00627EBB"/>
    <w:rsid w:val="006D0019"/>
    <w:rsid w:val="006F3901"/>
    <w:rsid w:val="007C4379"/>
    <w:rsid w:val="008C4171"/>
    <w:rsid w:val="008F274E"/>
    <w:rsid w:val="0099008B"/>
    <w:rsid w:val="009F23B6"/>
    <w:rsid w:val="00A73D4B"/>
    <w:rsid w:val="00BD4944"/>
    <w:rsid w:val="00BE5065"/>
    <w:rsid w:val="00C3574D"/>
    <w:rsid w:val="00CA21DC"/>
    <w:rsid w:val="00E40CD3"/>
    <w:rsid w:val="00E67392"/>
    <w:rsid w:val="00E72889"/>
    <w:rsid w:val="00F92703"/>
    <w:rsid w:val="00F96B90"/>
    <w:rsid w:val="00FB5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9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9900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CA21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1388</Words>
  <Characters>7635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Contable</dc:creator>
  <cp:keywords/>
  <dc:description/>
  <cp:lastModifiedBy>Contable</cp:lastModifiedBy>
  <cp:revision>25</cp:revision>
  <dcterms:created xsi:type="dcterms:W3CDTF">2013-10-27T04:24:00Z</dcterms:created>
  <dcterms:modified xsi:type="dcterms:W3CDTF">2013-10-27T05:26:00Z</dcterms:modified>
</cp:coreProperties>
</file>