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3F4" w:rsidRDefault="007933F4" w:rsidP="00A86BF2">
      <w:pPr>
        <w:rPr>
          <w:b/>
        </w:rPr>
      </w:pPr>
      <w:r>
        <w:rPr>
          <w:b/>
        </w:rPr>
        <w:t>VICTOR MANUEL RAMOS ANGEL    CARNET: RA08003   USUARIO: VRamosGT04</w:t>
      </w:r>
    </w:p>
    <w:p w:rsidR="00A86BF2" w:rsidRDefault="00440842" w:rsidP="00A86BF2">
      <w:pPr>
        <w:rPr>
          <w:b/>
        </w:rPr>
      </w:pPr>
      <w:r>
        <w:rPr>
          <w:b/>
        </w:rPr>
        <w:t>PRECIOS DE TRANSFERENCA.</w:t>
      </w:r>
    </w:p>
    <w:p w:rsidR="006A7844" w:rsidRDefault="00A86BF2" w:rsidP="008529C1">
      <w:pPr>
        <w:rPr>
          <w:b/>
        </w:rPr>
      </w:pPr>
      <w:r>
        <w:rPr>
          <w:b/>
        </w:rPr>
        <w:t>¿Qué son los precios de transferencia?</w:t>
      </w:r>
      <w:bookmarkStart w:id="0" w:name="_GoBack"/>
      <w:bookmarkEnd w:id="0"/>
    </w:p>
    <w:p w:rsidR="008529C1" w:rsidRDefault="00A86BF2" w:rsidP="008529C1">
      <w:r>
        <w:rPr>
          <w:b/>
        </w:rPr>
        <w:t xml:space="preserve"> </w:t>
      </w:r>
      <w:r>
        <w:t>El precio pactado en la trans</w:t>
      </w:r>
      <w:r>
        <w:t xml:space="preserve">ferencia de bienes tangibles o </w:t>
      </w:r>
      <w:r>
        <w:t>intangibles, prestación de servici</w:t>
      </w:r>
      <w:r>
        <w:t xml:space="preserve">os, o cualquier otra operación </w:t>
      </w:r>
      <w:r>
        <w:t xml:space="preserve">realizada entre entidades o sujetos relacionados”. </w:t>
      </w:r>
      <w:r>
        <w:cr/>
      </w:r>
      <w:r w:rsidR="008529C1">
        <w:t>Para efectos tributarios se entiende como parte relacionada:</w:t>
      </w:r>
    </w:p>
    <w:p w:rsidR="008529C1" w:rsidRDefault="008529C1" w:rsidP="008529C1">
      <w:pPr>
        <w:pStyle w:val="Prrafodelista"/>
        <w:numPr>
          <w:ilvl w:val="0"/>
          <w:numId w:val="2"/>
        </w:numPr>
      </w:pPr>
      <w:r>
        <w:t>Cuando uno de ellos dirija o controle la otra, o</w:t>
      </w:r>
      <w:r>
        <w:t xml:space="preserve"> </w:t>
      </w:r>
      <w:r>
        <w:t>posea, directa o indi</w:t>
      </w:r>
      <w:r>
        <w:t xml:space="preserve">rectamente, al menos el 25% de </w:t>
      </w:r>
      <w:r>
        <w:t>su capital social</w:t>
      </w:r>
      <w:r>
        <w:t xml:space="preserve"> o de sus derechos de voto. </w:t>
      </w:r>
      <w:r>
        <w:t xml:space="preserve"> </w:t>
      </w:r>
    </w:p>
    <w:p w:rsidR="008529C1" w:rsidRDefault="008529C1" w:rsidP="008529C1">
      <w:pPr>
        <w:pStyle w:val="Prrafodelista"/>
        <w:numPr>
          <w:ilvl w:val="0"/>
          <w:numId w:val="2"/>
        </w:numPr>
      </w:pPr>
      <w:r>
        <w:t>Cuando  cinco  o  menos  personas  dirijan  o  controlen  ambas  personas,</w:t>
      </w:r>
      <w:r>
        <w:t xml:space="preserve">  o  posean  en  su  conjunto, </w:t>
      </w:r>
      <w:r>
        <w:t>directa o indirectamente, al menos el 25% de participación en el capita</w:t>
      </w:r>
      <w:r>
        <w:t xml:space="preserve">l social o los derechos de voto de ambas personas. </w:t>
      </w:r>
      <w:r>
        <w:t xml:space="preserve"> </w:t>
      </w:r>
    </w:p>
    <w:p w:rsidR="008529C1" w:rsidRDefault="008529C1" w:rsidP="008529C1">
      <w:pPr>
        <w:pStyle w:val="Prrafodelista"/>
        <w:numPr>
          <w:ilvl w:val="0"/>
          <w:numId w:val="2"/>
        </w:numPr>
      </w:pPr>
      <w:r>
        <w:t>Cuando  sean  sociedades  que  pertenezcan  a  una  misma  unidad  de  decisión  o  grupo  empresarial.</w:t>
      </w:r>
    </w:p>
    <w:p w:rsidR="00AA1145" w:rsidRDefault="008529C1" w:rsidP="00AA1145">
      <w:pPr>
        <w:jc w:val="both"/>
      </w:pPr>
      <w:r w:rsidRPr="008529C1">
        <w:t>Para los grandes grupos multina</w:t>
      </w:r>
      <w:r w:rsidRPr="008529C1">
        <w:t xml:space="preserve">cionales el objetivo es buscar </w:t>
      </w:r>
      <w:r w:rsidRPr="008529C1">
        <w:t>territorios, jurisdicciones o país</w:t>
      </w:r>
      <w:r w:rsidRPr="008529C1">
        <w:t xml:space="preserve">es en donde puedan cumplir sus </w:t>
      </w:r>
      <w:r w:rsidRPr="008529C1">
        <w:t xml:space="preserve">obligaciones fiscales con tasas </w:t>
      </w:r>
      <w:r w:rsidRPr="008529C1">
        <w:t xml:space="preserve">reducidas, con bases gravables </w:t>
      </w:r>
      <w:r w:rsidRPr="008529C1">
        <w:t>sumamente limitadas y de ser posi</w:t>
      </w:r>
      <w:r w:rsidRPr="008529C1">
        <w:t xml:space="preserve">ble, con la más baja precisión </w:t>
      </w:r>
      <w:r w:rsidRPr="008529C1">
        <w:t xml:space="preserve">fiscal, optimizando así sus utilidades. </w:t>
      </w:r>
      <w:r w:rsidRPr="008529C1">
        <w:cr/>
      </w:r>
      <w:r w:rsidR="00AA1145">
        <w:t xml:space="preserve">En El Salvador se establece en el </w:t>
      </w:r>
      <w:r w:rsidR="00AA1145">
        <w:t xml:space="preserve">Artículo 62-A del C.T. </w:t>
      </w:r>
      <w:r w:rsidR="00AA1145">
        <w:t>que pa</w:t>
      </w:r>
      <w:r w:rsidR="00AA1145">
        <w:t>ra efectos tributarios, los contribuy</w:t>
      </w:r>
      <w:r w:rsidR="00AA1145">
        <w:t xml:space="preserve">entes que celebren operaciones </w:t>
      </w:r>
      <w:r w:rsidR="00AA1145">
        <w:t>o transacciones con sujetos rel</w:t>
      </w:r>
      <w:r w:rsidR="00AA1145">
        <w:t xml:space="preserve">acionados, estarán obligados a </w:t>
      </w:r>
      <w:r w:rsidR="00AA1145">
        <w:t>determinar los precios y mon</w:t>
      </w:r>
      <w:r w:rsidR="00AA1145">
        <w:t xml:space="preserve">tos de las contraprestaciones, </w:t>
      </w:r>
      <w:r w:rsidR="00AA1145">
        <w:t>considerando para esas oper</w:t>
      </w:r>
      <w:r w:rsidR="00AA1145">
        <w:t xml:space="preserve">aciones los precios de mercado </w:t>
      </w:r>
      <w:r w:rsidR="00AA1145">
        <w:t>utilizados en transferencias de bienes o</w:t>
      </w:r>
      <w:r w:rsidR="00AA1145">
        <w:t xml:space="preserve"> prestación de servicios de la </w:t>
      </w:r>
      <w:r w:rsidR="00AA1145">
        <w:t xml:space="preserve">misma especie, entre sujetos </w:t>
      </w:r>
      <w:r w:rsidR="00AA1145">
        <w:t xml:space="preserve">independientes. Igualmente los </w:t>
      </w:r>
      <w:r w:rsidR="00AA1145">
        <w:t>contribuyentes deberán deter</w:t>
      </w:r>
      <w:r w:rsidR="00AA1145">
        <w:t xml:space="preserve">minar a precios de mercado las </w:t>
      </w:r>
      <w:r w:rsidR="00AA1145">
        <w:t>operaciones o transaccion</w:t>
      </w:r>
      <w:r w:rsidR="00AA1145">
        <w:t xml:space="preserve">es que se celebren con sujetos </w:t>
      </w:r>
      <w:r w:rsidR="00AA1145">
        <w:t>domiciliados, constituidos o ubicados en</w:t>
      </w:r>
      <w:r w:rsidR="00AA1145">
        <w:t xml:space="preserve"> países, estados o territorios </w:t>
      </w:r>
      <w:r w:rsidR="00AA1145">
        <w:t>con regímenes fiscales preferentes</w:t>
      </w:r>
      <w:r w:rsidR="00AA1145">
        <w:t xml:space="preserve">, de baja o nula tributación o </w:t>
      </w:r>
      <w:r w:rsidR="00AA1145">
        <w:t>paraísos fiscales.</w:t>
      </w:r>
    </w:p>
    <w:p w:rsidR="00105CB8" w:rsidRDefault="00AA1145" w:rsidP="00105CB8">
      <w:pPr>
        <w:jc w:val="both"/>
      </w:pPr>
      <w:r>
        <w:t>El</w:t>
      </w:r>
      <w:r w:rsidRPr="00AA1145">
        <w:t xml:space="preserve"> Art. 62-A del C.T.</w:t>
      </w:r>
      <w:r>
        <w:t xml:space="preserve"> establece que cuando </w:t>
      </w:r>
      <w:r>
        <w:t xml:space="preserve"> los contribuyentes incumplan las obli</w:t>
      </w:r>
      <w:r>
        <w:t xml:space="preserve">gaciones reguladas en el inciso </w:t>
      </w:r>
      <w:r>
        <w:t>anterior, la Administración Tributaria de confo</w:t>
      </w:r>
      <w:r>
        <w:t xml:space="preserve">rmidad con lo dispuesto en los </w:t>
      </w:r>
      <w:r>
        <w:t>artículos 199-A, 199-B, 199-C y 199-D de este C</w:t>
      </w:r>
      <w:r>
        <w:t xml:space="preserve">ódigo, determinará el valor de </w:t>
      </w:r>
      <w:r>
        <w:t>dichas operaciones o transacciones, estable</w:t>
      </w:r>
      <w:r>
        <w:t xml:space="preserve">ciendo el precio o monto de la </w:t>
      </w:r>
      <w:r>
        <w:t>contraprestación, considerando para esas oper</w:t>
      </w:r>
      <w:r>
        <w:t xml:space="preserve">aciones los precios de mercado </w:t>
      </w:r>
      <w:r>
        <w:t>utilizados en transferencias de bienes o prest</w:t>
      </w:r>
      <w:r>
        <w:t xml:space="preserve">ación de servicios de la misma </w:t>
      </w:r>
      <w:r>
        <w:t xml:space="preserve">especie, entre sujetos independientes. </w:t>
      </w:r>
      <w:r>
        <w:cr/>
      </w:r>
      <w:r w:rsidR="00105CB8">
        <w:t xml:space="preserve">Estimación de la Base Imponible </w:t>
      </w:r>
    </w:p>
    <w:p w:rsidR="00105CB8" w:rsidRDefault="0007337D" w:rsidP="00105CB8">
      <w:pPr>
        <w:jc w:val="both"/>
      </w:pPr>
      <w:r>
        <w:t xml:space="preserve">El artículo 199-A del C.T. </w:t>
      </w:r>
      <w:r w:rsidR="00105CB8">
        <w:t xml:space="preserve">Se faculta a la Administración Tributaria para </w:t>
      </w:r>
    </w:p>
    <w:p w:rsidR="00105CB8" w:rsidRDefault="00105CB8" w:rsidP="00105CB8">
      <w:pPr>
        <w:jc w:val="both"/>
      </w:pPr>
      <w:r>
        <w:t xml:space="preserve">• Estimar la base imponible de IVA: si el precio </w:t>
      </w:r>
      <w:r w:rsidR="0007337D">
        <w:t xml:space="preserve">de la transferencia o monto de </w:t>
      </w:r>
      <w:r>
        <w:t>la remuneración no fueren fidedignos o resulta</w:t>
      </w:r>
      <w:r w:rsidR="0007337D">
        <w:t xml:space="preserve">ren inferiores o superiores al </w:t>
      </w:r>
      <w:r>
        <w:t xml:space="preserve">corriente de mercado. </w:t>
      </w:r>
    </w:p>
    <w:p w:rsidR="00105CB8" w:rsidRDefault="00105CB8" w:rsidP="00105CB8">
      <w:pPr>
        <w:jc w:val="both"/>
      </w:pPr>
      <w:r>
        <w:lastRenderedPageBreak/>
        <w:t xml:space="preserve">• Establecer el crédito fiscal: cuando el precio de adquisición, sea superior al corriente de mercado. </w:t>
      </w:r>
    </w:p>
    <w:p w:rsidR="006A7844" w:rsidRDefault="00105CB8" w:rsidP="006A7844">
      <w:pPr>
        <w:spacing w:after="0"/>
        <w:jc w:val="both"/>
      </w:pPr>
      <w:r>
        <w:t xml:space="preserve">• Determinar la renta y deducciones del </w:t>
      </w:r>
      <w:r w:rsidR="0007337D">
        <w:t xml:space="preserve">ISR: cuando éstas resulten ser </w:t>
      </w:r>
      <w:r>
        <w:t xml:space="preserve">inferiores o superiores a los precios de mercado </w:t>
      </w:r>
      <w:r>
        <w:cr/>
      </w:r>
    </w:p>
    <w:p w:rsidR="0007337D" w:rsidRPr="006A7844" w:rsidRDefault="0007337D" w:rsidP="006A7844">
      <w:pPr>
        <w:spacing w:after="0"/>
        <w:jc w:val="both"/>
        <w:rPr>
          <w:b/>
        </w:rPr>
      </w:pPr>
      <w:r w:rsidRPr="006A7844">
        <w:rPr>
          <w:b/>
        </w:rPr>
        <w:t>Precio de Mercado</w:t>
      </w:r>
    </w:p>
    <w:p w:rsidR="0007337D" w:rsidRDefault="00EF7ABC" w:rsidP="006A7844">
      <w:pPr>
        <w:spacing w:after="0"/>
        <w:jc w:val="both"/>
      </w:pPr>
      <w:r>
        <w:t>El a</w:t>
      </w:r>
      <w:r w:rsidR="0007337D">
        <w:t xml:space="preserve">rtículo 199-B del C.T. </w:t>
      </w:r>
      <w:r>
        <w:t xml:space="preserve">establece que se entenderá por precio de </w:t>
      </w:r>
      <w:r w:rsidR="0007337D">
        <w:t>mercado en las operaciones locales, el precio de</w:t>
      </w:r>
      <w:r>
        <w:t xml:space="preserve"> venta que tengan los bienes o </w:t>
      </w:r>
      <w:r w:rsidR="0007337D">
        <w:t>servicios, en negocios o establecimientos ubicados en e</w:t>
      </w:r>
      <w:r>
        <w:t xml:space="preserve">l país no relacionados con </w:t>
      </w:r>
      <w:r w:rsidR="0007337D">
        <w:t xml:space="preserve">el fiscalizado, que transfieran bienes o presten servicios de la misma especie. </w:t>
      </w:r>
    </w:p>
    <w:p w:rsidR="006A7844" w:rsidRDefault="0007337D" w:rsidP="006A7844">
      <w:pPr>
        <w:jc w:val="both"/>
      </w:pPr>
      <w:r>
        <w:t>En transferencias de bienes o prestaciones de serv</w:t>
      </w:r>
      <w:r w:rsidR="00EF7ABC">
        <w:t xml:space="preserve">icios al exterior el precio de </w:t>
      </w:r>
      <w:r>
        <w:t>mercado lo constituirá, el precio al que otros sujetos distinto</w:t>
      </w:r>
      <w:r w:rsidR="00EF7ABC">
        <w:t xml:space="preserve">s al fiscalizado y no </w:t>
      </w:r>
      <w:r>
        <w:t xml:space="preserve">relacionados con éste hayan transferido bienes o </w:t>
      </w:r>
      <w:r w:rsidR="00EF7ABC">
        <w:t xml:space="preserve">prestado servicios de la misma </w:t>
      </w:r>
      <w:r>
        <w:t xml:space="preserve">especie, desde El Salvador al mismo país de destino. </w:t>
      </w:r>
      <w:r>
        <w:cr/>
      </w:r>
      <w:r w:rsidR="006A7844">
        <w:t>Los contribuyentes que celebren operacio</w:t>
      </w:r>
      <w:r w:rsidR="006A7844">
        <w:t xml:space="preserve">nes con sujetos relacionados o  </w:t>
      </w:r>
      <w:r w:rsidR="006A7844">
        <w:t>sujetos domiciliados, constituidos o ubicados en</w:t>
      </w:r>
      <w:r w:rsidR="006A7844">
        <w:t xml:space="preserve"> países, estados o territorios </w:t>
      </w:r>
      <w:r w:rsidR="006A7844">
        <w:t>con regímenes fiscales preferentes, de baja</w:t>
      </w:r>
      <w:r w:rsidR="006A7844">
        <w:t xml:space="preserve"> o nula tributación o paraísos </w:t>
      </w:r>
      <w:r w:rsidR="006A7844">
        <w:t>fiscales durante un ejercicio fiscal, y tal</w:t>
      </w:r>
      <w:r w:rsidR="006A7844">
        <w:t xml:space="preserve">es operaciones ya sea en forma </w:t>
      </w:r>
      <w:r w:rsidR="006A7844">
        <w:t>individual o conjunta sean iguales o superiores a qu</w:t>
      </w:r>
      <w:r w:rsidR="006A7844">
        <w:t xml:space="preserve">inientos setenta y un mil </w:t>
      </w:r>
      <w:r w:rsidR="006A7844">
        <w:t>cuatrocientos veintinueve dólares de</w:t>
      </w:r>
      <w:r w:rsidR="006A7844">
        <w:t xml:space="preserve"> los Estados Unidos de América </w:t>
      </w:r>
      <w:r w:rsidR="006A7844">
        <w:t xml:space="preserve">($571,429.00), deberán presentar un Informe </w:t>
      </w:r>
      <w:r w:rsidR="006A7844">
        <w:t xml:space="preserve">de las operaciones que ejecute </w:t>
      </w:r>
      <w:r w:rsidR="006A7844">
        <w:t xml:space="preserve">con dichos sujetos, a través de los </w:t>
      </w:r>
      <w:r w:rsidR="006A7844">
        <w:t xml:space="preserve">formularios que proporcione la </w:t>
      </w:r>
      <w:r w:rsidR="006A7844">
        <w:t>Administración Tributaria con los requisitos y</w:t>
      </w:r>
      <w:r w:rsidR="006A7844">
        <w:t xml:space="preserve"> especificaciones técnicas que </w:t>
      </w:r>
      <w:r w:rsidR="006A7844">
        <w:t xml:space="preserve">ésta disponga para tal efecto. </w:t>
      </w:r>
      <w:r w:rsidR="006A7844">
        <w:cr/>
        <w:t>La presentación del Informe deberá realiza</w:t>
      </w:r>
      <w:r w:rsidR="006A7844">
        <w:t xml:space="preserve">rse a más tardar dentro de los </w:t>
      </w:r>
      <w:r w:rsidR="006A7844">
        <w:t xml:space="preserve">tres primeros meses siguientes de finalizado el ejercicio fiscal. </w:t>
      </w:r>
      <w:r w:rsidR="006A7844">
        <w:cr/>
      </w:r>
    </w:p>
    <w:p w:rsidR="00105CB8" w:rsidRDefault="00105CB8" w:rsidP="00AA1145">
      <w:pPr>
        <w:jc w:val="both"/>
      </w:pPr>
    </w:p>
    <w:p w:rsidR="00AA1145" w:rsidRPr="008529C1" w:rsidRDefault="00AA1145" w:rsidP="00AA1145">
      <w:pPr>
        <w:jc w:val="both"/>
      </w:pPr>
    </w:p>
    <w:sectPr w:rsidR="00AA1145" w:rsidRPr="008529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E56E4"/>
    <w:multiLevelType w:val="hybridMultilevel"/>
    <w:tmpl w:val="6B40F72C"/>
    <w:lvl w:ilvl="0" w:tplc="440A0017">
      <w:start w:val="1"/>
      <w:numFmt w:val="lowerLetter"/>
      <w:lvlText w:val="%1)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6114BCA"/>
    <w:multiLevelType w:val="hybridMultilevel"/>
    <w:tmpl w:val="77D0D684"/>
    <w:lvl w:ilvl="0" w:tplc="440A0017">
      <w:start w:val="1"/>
      <w:numFmt w:val="lowerLetter"/>
      <w:lvlText w:val="%1)"/>
      <w:lvlJc w:val="left"/>
      <w:pPr>
        <w:ind w:left="360" w:hanging="360"/>
      </w:p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842"/>
    <w:rsid w:val="00040EE9"/>
    <w:rsid w:val="0007337D"/>
    <w:rsid w:val="000E4884"/>
    <w:rsid w:val="00105CB8"/>
    <w:rsid w:val="00440842"/>
    <w:rsid w:val="00596BD4"/>
    <w:rsid w:val="006A7844"/>
    <w:rsid w:val="00711CCD"/>
    <w:rsid w:val="007933F4"/>
    <w:rsid w:val="008529C1"/>
    <w:rsid w:val="00A86BF2"/>
    <w:rsid w:val="00AA1145"/>
    <w:rsid w:val="00E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9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672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alumno</Company>
  <LinksUpToDate>false</LinksUpToDate>
  <CharactersWithSpaces>4365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RAMOS</dc:creator>
  <cp:lastModifiedBy>RAMOS</cp:lastModifiedBy>
  <cp:revision>8</cp:revision>
  <dcterms:created xsi:type="dcterms:W3CDTF">2013-10-28T01:29:00Z</dcterms:created>
  <dcterms:modified xsi:type="dcterms:W3CDTF">2013-10-28T03:26:00Z</dcterms:modified>
</cp:coreProperties>
</file>