
<file path=[Content_Types].xml><?xml version="1.0" encoding="utf-8"?>
<Types xmlns="http://schemas.openxmlformats.org/package/2006/content-types">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A48" w:rsidRDefault="00BF4A48" w:rsidP="00BF4A48">
      <w:pPr>
        <w:jc w:val="center"/>
        <w:rPr>
          <w:rFonts w:ascii="Times New Roman" w:hAnsi="Times New Roman" w:cs="Times New Roman"/>
          <w:b/>
          <w:sz w:val="28"/>
          <w:szCs w:val="28"/>
        </w:rPr>
      </w:pPr>
      <w:r>
        <w:rPr>
          <w:rFonts w:ascii="Times New Roman" w:hAnsi="Times New Roman" w:cs="Times New Roman"/>
          <w:b/>
          <w:sz w:val="28"/>
          <w:szCs w:val="28"/>
        </w:rPr>
        <w:t>5</w:t>
      </w:r>
      <w:r w:rsidRPr="00D04830">
        <w:rPr>
          <w:rFonts w:ascii="Times New Roman" w:hAnsi="Times New Roman" w:cs="Times New Roman"/>
          <w:b/>
          <w:sz w:val="28"/>
          <w:szCs w:val="28"/>
        </w:rPr>
        <w:t>° Control de lectura</w:t>
      </w:r>
      <w:r>
        <w:rPr>
          <w:rFonts w:ascii="Times New Roman" w:hAnsi="Times New Roman" w:cs="Times New Roman"/>
          <w:b/>
          <w:sz w:val="28"/>
          <w:szCs w:val="28"/>
        </w:rPr>
        <w:t xml:space="preserve"> de la Ley de Impuesto Sobre Renta</w:t>
      </w:r>
    </w:p>
    <w:p w:rsidR="00BF4A48" w:rsidRDefault="00BF4A48" w:rsidP="00BF4A48">
      <w:pPr>
        <w:jc w:val="center"/>
        <w:rPr>
          <w:rFonts w:ascii="Times New Roman" w:hAnsi="Times New Roman" w:cs="Times New Roman"/>
          <w:sz w:val="28"/>
          <w:szCs w:val="28"/>
        </w:rPr>
      </w:pPr>
      <w:r>
        <w:rPr>
          <w:rFonts w:ascii="Times New Roman" w:hAnsi="Times New Roman" w:cs="Times New Roman"/>
          <w:sz w:val="28"/>
          <w:szCs w:val="28"/>
        </w:rPr>
        <w:t>Estudiante: Wendy Elizabeth Hernández López HL09008</w:t>
      </w:r>
    </w:p>
    <w:p w:rsidR="00BF4A48" w:rsidRDefault="00BF4A48" w:rsidP="00BF4A48">
      <w:pPr>
        <w:jc w:val="center"/>
        <w:rPr>
          <w:rFonts w:ascii="Times New Roman" w:hAnsi="Times New Roman" w:cs="Times New Roman"/>
          <w:sz w:val="28"/>
          <w:szCs w:val="28"/>
        </w:rPr>
      </w:pPr>
      <w:r>
        <w:rPr>
          <w:rFonts w:ascii="Times New Roman" w:hAnsi="Times New Roman" w:cs="Times New Roman"/>
          <w:sz w:val="28"/>
          <w:szCs w:val="28"/>
        </w:rPr>
        <w:t>Usuario: WHernandezGT04           Equipo: Los aprendices</w:t>
      </w:r>
    </w:p>
    <w:p w:rsidR="00BF4A48" w:rsidRDefault="00BF4A48" w:rsidP="00BF4A48">
      <w:pPr>
        <w:jc w:val="center"/>
        <w:rPr>
          <w:rFonts w:ascii="Times New Roman" w:hAnsi="Times New Roman" w:cs="Times New Roman"/>
          <w:sz w:val="28"/>
          <w:szCs w:val="28"/>
        </w:rPr>
      </w:pPr>
    </w:p>
    <w:p w:rsidR="00BF4A48" w:rsidRDefault="00BF4A48" w:rsidP="00BF4A48">
      <w:pPr>
        <w:spacing w:after="0" w:line="240" w:lineRule="auto"/>
        <w:rPr>
          <w:rFonts w:ascii="Times New Roman" w:eastAsia="Times New Roman" w:hAnsi="Times New Roman" w:cs="Times New Roman"/>
          <w:sz w:val="24"/>
          <w:szCs w:val="24"/>
          <w:lang w:eastAsia="es-SV"/>
        </w:rPr>
      </w:pPr>
      <w:r w:rsidRPr="00BF4A48">
        <w:rPr>
          <w:rFonts w:ascii="Times New Roman" w:eastAsia="Times New Roman" w:hAnsi="Times New Roman" w:cs="Times New Roman"/>
          <w:sz w:val="24"/>
          <w:szCs w:val="24"/>
          <w:lang w:eastAsia="es-SV"/>
        </w:rPr>
        <w:t>La obtención de rentas por los sujetos pasivos en el ejercicio o período de imposición de que se trate, genera la obligación de pago del impuesto.</w:t>
      </w:r>
    </w:p>
    <w:p w:rsidR="00BF4A48" w:rsidRDefault="00BF4A48" w:rsidP="00BF4A48">
      <w:pPr>
        <w:spacing w:after="0" w:line="240" w:lineRule="auto"/>
        <w:rPr>
          <w:rFonts w:ascii="Times New Roman" w:eastAsia="Times New Roman" w:hAnsi="Times New Roman" w:cs="Times New Roman"/>
          <w:sz w:val="24"/>
          <w:szCs w:val="24"/>
          <w:lang w:eastAsia="es-SV"/>
        </w:rPr>
      </w:pPr>
    </w:p>
    <w:p w:rsidR="00BF4A48" w:rsidRPr="00BF4A48" w:rsidRDefault="00BF4A48" w:rsidP="00BF4A48">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sz w:val="24"/>
          <w:szCs w:val="24"/>
          <w:lang w:eastAsia="es-SV"/>
        </w:rPr>
        <w:t>Características:</w:t>
      </w:r>
    </w:p>
    <w:p w:rsidR="00553465" w:rsidRDefault="00BF4A48">
      <w:pPr>
        <w:rPr>
          <w:rFonts w:ascii="Times New Roman" w:hAnsi="Times New Roman" w:cs="Times New Roman"/>
          <w:sz w:val="24"/>
          <w:szCs w:val="24"/>
        </w:rPr>
      </w:pPr>
      <w:r w:rsidRPr="00BF4A48">
        <w:rPr>
          <w:rFonts w:ascii="Times New Roman" w:hAnsi="Times New Roman" w:cs="Times New Roman"/>
          <w:sz w:val="24"/>
          <w:szCs w:val="24"/>
        </w:rPr>
        <w:drawing>
          <wp:inline distT="0" distB="0" distL="0" distR="0">
            <wp:extent cx="5911702" cy="4000057"/>
            <wp:effectExtent l="0" t="0" r="0" b="19493"/>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rsidR="00BF4A48" w:rsidRDefault="00BF4A48">
      <w:pPr>
        <w:rPr>
          <w:rFonts w:ascii="Times New Roman" w:hAnsi="Times New Roman" w:cs="Times New Roman"/>
          <w:sz w:val="24"/>
          <w:szCs w:val="24"/>
        </w:rPr>
      </w:pPr>
    </w:p>
    <w:p w:rsidR="00BF4A48" w:rsidRDefault="00BF4A48" w:rsidP="00BF4A48">
      <w:pPr>
        <w:spacing w:after="0" w:line="240" w:lineRule="auto"/>
        <w:jc w:val="both"/>
        <w:rPr>
          <w:rFonts w:ascii="Times New Roman" w:eastAsia="Times New Roman" w:hAnsi="Times New Roman" w:cs="Times New Roman"/>
          <w:sz w:val="24"/>
          <w:szCs w:val="24"/>
          <w:lang w:eastAsia="es-SV"/>
        </w:rPr>
      </w:pPr>
      <w:r w:rsidRPr="00BF4A48">
        <w:rPr>
          <w:rFonts w:ascii="Times New Roman" w:eastAsia="Times New Roman" w:hAnsi="Times New Roman" w:cs="Times New Roman"/>
          <w:sz w:val="24"/>
          <w:szCs w:val="24"/>
          <w:lang w:eastAsia="es-SV"/>
        </w:rPr>
        <w:t>La obtención de rentas por los sujetos pasivos en el ejercicio o período de imposición de que se trate, genera la obligación de pago del impuesto.</w:t>
      </w:r>
    </w:p>
    <w:p w:rsidR="00BF4A48" w:rsidRPr="00BF4A48" w:rsidRDefault="00BF4A48" w:rsidP="00BF4A48">
      <w:pPr>
        <w:spacing w:after="0" w:line="240" w:lineRule="auto"/>
        <w:jc w:val="both"/>
        <w:rPr>
          <w:rFonts w:ascii="Times New Roman" w:eastAsia="Times New Roman" w:hAnsi="Times New Roman" w:cs="Times New Roman"/>
          <w:sz w:val="24"/>
          <w:szCs w:val="24"/>
          <w:lang w:eastAsia="es-SV"/>
        </w:rPr>
      </w:pPr>
    </w:p>
    <w:p w:rsidR="00BF4A48" w:rsidRDefault="00BF4A48" w:rsidP="00BF4A48">
      <w:pPr>
        <w:spacing w:after="0" w:line="240" w:lineRule="auto"/>
        <w:jc w:val="both"/>
        <w:rPr>
          <w:rFonts w:ascii="Times New Roman" w:eastAsia="Times New Roman" w:hAnsi="Times New Roman" w:cs="Times New Roman"/>
          <w:b/>
          <w:sz w:val="24"/>
          <w:szCs w:val="24"/>
          <w:lang w:eastAsia="es-SV"/>
        </w:rPr>
      </w:pPr>
      <w:r w:rsidRPr="00BF4A48">
        <w:rPr>
          <w:rFonts w:ascii="Times New Roman" w:eastAsia="Times New Roman" w:hAnsi="Times New Roman" w:cs="Times New Roman"/>
          <w:b/>
          <w:sz w:val="24"/>
          <w:szCs w:val="24"/>
          <w:lang w:eastAsia="es-SV"/>
        </w:rPr>
        <w:t xml:space="preserve"> Clasificándose las rentas en:</w:t>
      </w:r>
    </w:p>
    <w:p w:rsidR="00BF4A48" w:rsidRPr="00BF4A48" w:rsidRDefault="00BF4A48" w:rsidP="00BF4A48">
      <w:pPr>
        <w:spacing w:after="0" w:line="240" w:lineRule="auto"/>
        <w:jc w:val="both"/>
        <w:rPr>
          <w:rFonts w:ascii="Times New Roman" w:eastAsia="Times New Roman" w:hAnsi="Times New Roman" w:cs="Times New Roman"/>
          <w:b/>
          <w:sz w:val="24"/>
          <w:szCs w:val="24"/>
          <w:lang w:eastAsia="es-SV"/>
        </w:rPr>
      </w:pPr>
    </w:p>
    <w:p w:rsidR="00BF4A48" w:rsidRPr="00BF4A48" w:rsidRDefault="00BF4A48" w:rsidP="00BF4A48">
      <w:pPr>
        <w:pStyle w:val="Prrafodelista"/>
        <w:numPr>
          <w:ilvl w:val="0"/>
          <w:numId w:val="1"/>
        </w:numPr>
        <w:spacing w:after="0" w:line="240" w:lineRule="auto"/>
        <w:jc w:val="both"/>
        <w:rPr>
          <w:rFonts w:ascii="Times New Roman" w:eastAsia="Times New Roman" w:hAnsi="Times New Roman" w:cs="Times New Roman"/>
          <w:sz w:val="24"/>
          <w:szCs w:val="24"/>
          <w:lang w:eastAsia="es-SV"/>
        </w:rPr>
      </w:pPr>
      <w:r w:rsidRPr="00BF4A48">
        <w:rPr>
          <w:rFonts w:ascii="Times New Roman" w:eastAsia="Times New Roman" w:hAnsi="Times New Roman" w:cs="Times New Roman"/>
          <w:sz w:val="24"/>
          <w:szCs w:val="24"/>
          <w:lang w:eastAsia="es-SV"/>
        </w:rPr>
        <w:t xml:space="preserve">Renta obtenida entendiéndose como el total de los ingresos del sujeto pasivo o contribuyente, percibidos o devengados, aunque no consistan en dinero, sin hacerles ninguna deducción o rebaja, que provengan de Servicios Profesionales, sean salarios, sueldos, sobresueldos; ejercicio de profesiones tales como las artes y </w:t>
      </w:r>
      <w:r w:rsidRPr="00BF4A48">
        <w:rPr>
          <w:rFonts w:ascii="Times New Roman" w:eastAsia="Times New Roman" w:hAnsi="Times New Roman" w:cs="Times New Roman"/>
          <w:sz w:val="24"/>
          <w:szCs w:val="24"/>
          <w:lang w:eastAsia="es-SV"/>
        </w:rPr>
        <w:lastRenderedPageBreak/>
        <w:t>oficios; actividad empresarial de cualquier naturaleza; utilización o explotación de bienes muebles o inmuebles;</w:t>
      </w:r>
    </w:p>
    <w:p w:rsidR="00BF4A48" w:rsidRPr="00BF4A48" w:rsidRDefault="00BF4A48" w:rsidP="00BF4A48">
      <w:pPr>
        <w:spacing w:after="0" w:line="240" w:lineRule="auto"/>
        <w:jc w:val="both"/>
        <w:rPr>
          <w:rFonts w:ascii="Times New Roman" w:eastAsia="Times New Roman" w:hAnsi="Times New Roman" w:cs="Times New Roman"/>
          <w:sz w:val="24"/>
          <w:szCs w:val="24"/>
          <w:lang w:eastAsia="es-SV"/>
        </w:rPr>
      </w:pPr>
    </w:p>
    <w:p w:rsidR="00BF4A48" w:rsidRPr="00BF4A48" w:rsidRDefault="00BF4A48" w:rsidP="00BF4A48">
      <w:pPr>
        <w:pStyle w:val="Prrafodelista"/>
        <w:numPr>
          <w:ilvl w:val="0"/>
          <w:numId w:val="1"/>
        </w:numPr>
        <w:spacing w:after="0" w:line="240" w:lineRule="auto"/>
        <w:jc w:val="both"/>
        <w:rPr>
          <w:rFonts w:ascii="Times New Roman" w:eastAsia="Times New Roman" w:hAnsi="Times New Roman" w:cs="Times New Roman"/>
          <w:sz w:val="24"/>
          <w:szCs w:val="24"/>
          <w:lang w:eastAsia="es-SV"/>
        </w:rPr>
      </w:pPr>
      <w:r w:rsidRPr="00BF4A48">
        <w:rPr>
          <w:rFonts w:ascii="Times New Roman" w:eastAsia="Times New Roman" w:hAnsi="Times New Roman" w:cs="Times New Roman"/>
          <w:sz w:val="24"/>
          <w:szCs w:val="24"/>
          <w:lang w:eastAsia="es-SV"/>
        </w:rPr>
        <w:t>Comercialización de bienes y servicios de cualquier clase; cualquier otro producto, ganancia, beneficio, utilidad o premio que se perciba o devengue, cualquiera que sea su fuente de ingresos; determinan así la renta obtenida por medio de la suma de productos o utilidades totales de las diferentes rentas de sujetos pasivos obtenidas durante el ejercicio (Según arts. 2, 12, 25, 27 y 28 de la Ley de Impuesto Sobre la Renta y Arts. 9, 19, 25, 26, 29, 31, 32, 33, 34 de su Reglamento).</w:t>
      </w:r>
    </w:p>
    <w:p w:rsidR="00BF4A48" w:rsidRPr="00BF4A48" w:rsidRDefault="00BF4A48" w:rsidP="00BF4A48">
      <w:pPr>
        <w:spacing w:after="0" w:line="240" w:lineRule="auto"/>
        <w:jc w:val="both"/>
        <w:rPr>
          <w:rFonts w:ascii="Times New Roman" w:eastAsia="Times New Roman" w:hAnsi="Times New Roman" w:cs="Times New Roman"/>
          <w:sz w:val="24"/>
          <w:szCs w:val="24"/>
          <w:lang w:eastAsia="es-SV"/>
        </w:rPr>
      </w:pPr>
    </w:p>
    <w:p w:rsidR="00BF4A48" w:rsidRDefault="00BF4A48" w:rsidP="00BF4A48">
      <w:pPr>
        <w:pStyle w:val="Prrafodelista"/>
        <w:numPr>
          <w:ilvl w:val="0"/>
          <w:numId w:val="1"/>
        </w:numPr>
        <w:spacing w:after="0" w:line="240" w:lineRule="auto"/>
        <w:jc w:val="both"/>
        <w:rPr>
          <w:rFonts w:ascii="Times New Roman" w:eastAsia="Times New Roman" w:hAnsi="Times New Roman" w:cs="Times New Roman"/>
          <w:sz w:val="24"/>
          <w:szCs w:val="24"/>
          <w:lang w:eastAsia="es-SV"/>
        </w:rPr>
      </w:pPr>
      <w:r w:rsidRPr="00BF4A48">
        <w:rPr>
          <w:rFonts w:ascii="Times New Roman" w:eastAsia="Times New Roman" w:hAnsi="Times New Roman" w:cs="Times New Roman"/>
          <w:sz w:val="24"/>
          <w:szCs w:val="24"/>
          <w:lang w:eastAsia="es-SV"/>
        </w:rPr>
        <w:t>Renta Neta o imponible es toda renta obtenida a la cual se le deduzcan los costos y gastos necesarios para la producción de la renta y para la conservación de su fuentes, entendiéndose como</w:t>
      </w:r>
      <w:bookmarkStart w:id="0" w:name="47"/>
      <w:bookmarkEnd w:id="0"/>
      <w:r w:rsidRPr="00BF4A48">
        <w:rPr>
          <w:rFonts w:ascii="Times New Roman" w:eastAsia="Times New Roman" w:hAnsi="Times New Roman" w:cs="Times New Roman"/>
          <w:sz w:val="24"/>
          <w:szCs w:val="24"/>
          <w:lang w:eastAsia="es-SV"/>
        </w:rPr>
        <w:t xml:space="preserve"> fuente de renta aquellos costos y gastos que sean necesarios para mantener las condiciones de trabajo, servicios o producción, sin que esta aumente de valor por motivos de las inversiones realizas, no tomando en cuenta los costos y gastos que generen rentas no gravadas, los cuales deberán de ser llevados por separado (Según arts. 28 y 29 de la ley de impuesto sobre la renta y Art. 31 del reglamento respectivo)</w:t>
      </w:r>
    </w:p>
    <w:p w:rsidR="00BF4A48" w:rsidRPr="00BF4A48" w:rsidRDefault="00BF4A48" w:rsidP="00BF4A48">
      <w:pPr>
        <w:pStyle w:val="Prrafodelista"/>
        <w:rPr>
          <w:rFonts w:ascii="Times New Roman" w:eastAsia="Times New Roman" w:hAnsi="Times New Roman" w:cs="Times New Roman"/>
          <w:sz w:val="24"/>
          <w:szCs w:val="24"/>
          <w:lang w:eastAsia="es-SV"/>
        </w:rPr>
      </w:pPr>
    </w:p>
    <w:p w:rsidR="00BF4A48" w:rsidRPr="00BF4A48" w:rsidRDefault="00BF4A48" w:rsidP="00BF4A48">
      <w:pPr>
        <w:pStyle w:val="Prrafodelista"/>
        <w:spacing w:after="0" w:line="240" w:lineRule="auto"/>
        <w:jc w:val="both"/>
        <w:rPr>
          <w:rFonts w:ascii="Times New Roman" w:eastAsia="Times New Roman" w:hAnsi="Times New Roman" w:cs="Times New Roman"/>
          <w:sz w:val="24"/>
          <w:szCs w:val="24"/>
          <w:lang w:eastAsia="es-SV"/>
        </w:rPr>
      </w:pPr>
    </w:p>
    <w:p w:rsidR="00BF4A48" w:rsidRPr="00BF4A48" w:rsidRDefault="00BF4A48" w:rsidP="00BF4A48">
      <w:pPr>
        <w:spacing w:after="0" w:line="240" w:lineRule="auto"/>
        <w:jc w:val="both"/>
        <w:rPr>
          <w:rFonts w:ascii="Times New Roman" w:eastAsia="Times New Roman" w:hAnsi="Times New Roman" w:cs="Times New Roman"/>
          <w:sz w:val="24"/>
          <w:szCs w:val="24"/>
          <w:lang w:eastAsia="es-SV"/>
        </w:rPr>
      </w:pPr>
      <w:r w:rsidRPr="00BF4A48">
        <w:rPr>
          <w:rFonts w:ascii="Times New Roman" w:eastAsia="Times New Roman" w:hAnsi="Times New Roman" w:cs="Times New Roman"/>
          <w:sz w:val="24"/>
          <w:szCs w:val="24"/>
          <w:lang w:eastAsia="es-SV"/>
        </w:rPr>
        <w:t>Se consideraran como sujetos de retención todo sujeto pasivo o persona natural domiciliada en el país que perciban ingresos en  concepto de sueldos, salarios, honorarios por la prestación de  servicios de carácter  permanente, dicho porcentaje será  descontado del monto a pagar acordado entre el patrono y trabajador, tomando en cuenta la siguiente tabla en cuando a ingresos obtenidos</w:t>
      </w:r>
    </w:p>
    <w:p w:rsidR="00BF4A48" w:rsidRDefault="00BF4A48" w:rsidP="00BF4A48">
      <w:pPr>
        <w:jc w:val="both"/>
        <w:rPr>
          <w:rFonts w:ascii="Times New Roman" w:hAnsi="Times New Roman" w:cs="Times New Roman"/>
          <w:sz w:val="24"/>
          <w:szCs w:val="24"/>
        </w:rPr>
      </w:pPr>
    </w:p>
    <w:p w:rsidR="00BF4A48" w:rsidRPr="00BF4A48" w:rsidRDefault="00BF4A48" w:rsidP="00BF4A48">
      <w:pPr>
        <w:jc w:val="both"/>
        <w:rPr>
          <w:rFonts w:ascii="Times New Roman" w:hAnsi="Times New Roman" w:cs="Times New Roman"/>
          <w:b/>
          <w:sz w:val="24"/>
          <w:szCs w:val="24"/>
        </w:rPr>
      </w:pPr>
      <w:r w:rsidRPr="00BF4A48">
        <w:rPr>
          <w:rFonts w:ascii="Times New Roman" w:hAnsi="Times New Roman" w:cs="Times New Roman"/>
          <w:b/>
          <w:sz w:val="24"/>
          <w:szCs w:val="24"/>
        </w:rPr>
        <w:t>El tratamiento de las indemnizaciones</w:t>
      </w:r>
    </w:p>
    <w:p w:rsidR="00BF4A48" w:rsidRDefault="00BF4A48" w:rsidP="00BF4A48">
      <w:pPr>
        <w:jc w:val="both"/>
      </w:pPr>
      <w:r w:rsidRPr="00BF4A48">
        <w:rPr>
          <w:rFonts w:ascii="Times New Roman" w:hAnsi="Times New Roman" w:cs="Times New Roman"/>
          <w:sz w:val="24"/>
          <w:szCs w:val="24"/>
        </w:rPr>
        <w:t xml:space="preserve"> Art. 4, # 3) No se considera renta gravable las que s</w:t>
      </w:r>
      <w:r>
        <w:rPr>
          <w:rFonts w:ascii="Times New Roman" w:hAnsi="Times New Roman" w:cs="Times New Roman"/>
          <w:sz w:val="24"/>
          <w:szCs w:val="24"/>
        </w:rPr>
        <w:t xml:space="preserve">e perciban por causa de muerte, </w:t>
      </w:r>
      <w:r w:rsidRPr="00BF4A48">
        <w:rPr>
          <w:rFonts w:ascii="Times New Roman" w:hAnsi="Times New Roman" w:cs="Times New Roman"/>
          <w:sz w:val="24"/>
          <w:szCs w:val="24"/>
        </w:rPr>
        <w:t xml:space="preserve">incapacidad, accidente o enfermedad; las indemnizaciones por despido y bonificaciones por retiro voluntario, siempre que no excedan de un salario básico </w:t>
      </w:r>
      <w:r>
        <w:rPr>
          <w:rFonts w:ascii="Times New Roman" w:hAnsi="Times New Roman" w:cs="Times New Roman"/>
          <w:sz w:val="24"/>
          <w:szCs w:val="24"/>
        </w:rPr>
        <w:t>de treinta días por cada año de servicio</w:t>
      </w:r>
    </w:p>
    <w:p w:rsidR="00BF4A48" w:rsidRPr="00BF4A48" w:rsidRDefault="00BF4A48" w:rsidP="00BF4A48">
      <w:pPr>
        <w:jc w:val="both"/>
        <w:rPr>
          <w:rFonts w:ascii="Times New Roman" w:hAnsi="Times New Roman" w:cs="Times New Roman"/>
          <w:b/>
          <w:sz w:val="24"/>
          <w:szCs w:val="24"/>
        </w:rPr>
      </w:pPr>
      <w:r>
        <w:t xml:space="preserve"> </w:t>
      </w:r>
      <w:r>
        <w:br/>
      </w:r>
      <w:r w:rsidRPr="00BF4A48">
        <w:rPr>
          <w:rFonts w:ascii="Times New Roman" w:hAnsi="Times New Roman" w:cs="Times New Roman"/>
          <w:b/>
          <w:sz w:val="24"/>
          <w:szCs w:val="24"/>
        </w:rPr>
        <w:t>Tratamiento de la renta obtenida en el salvador</w:t>
      </w:r>
    </w:p>
    <w:p w:rsidR="00BF4A48" w:rsidRPr="00DF56FF" w:rsidRDefault="00BF4A48" w:rsidP="00BF4A48">
      <w:pPr>
        <w:jc w:val="both"/>
        <w:rPr>
          <w:rFonts w:ascii="Times New Roman" w:hAnsi="Times New Roman" w:cs="Times New Roman"/>
          <w:b/>
          <w:sz w:val="24"/>
          <w:szCs w:val="24"/>
        </w:rPr>
      </w:pPr>
      <w:r>
        <w:t xml:space="preserve"> </w:t>
      </w:r>
      <w:r w:rsidRPr="00BF4A48">
        <w:rPr>
          <w:rFonts w:ascii="Times New Roman" w:hAnsi="Times New Roman" w:cs="Times New Roman"/>
          <w:sz w:val="24"/>
          <w:szCs w:val="24"/>
        </w:rPr>
        <w:t>Art. 16) Las que provengan de bienes situados en el país, así como de actividades efectuadas o de capitales invertidos en el mismo, y de servicios prestados o utilizados en el territorio nacional, aunque se reciban o paguen fuera de la República.</w:t>
      </w:r>
      <w:r w:rsidRPr="00BF4A48">
        <w:rPr>
          <w:rFonts w:ascii="Times New Roman" w:hAnsi="Times New Roman" w:cs="Times New Roman"/>
          <w:sz w:val="24"/>
          <w:szCs w:val="24"/>
        </w:rPr>
        <w:br/>
      </w:r>
      <w:r w:rsidRPr="00BF4A48">
        <w:rPr>
          <w:rFonts w:ascii="Times New Roman" w:hAnsi="Times New Roman" w:cs="Times New Roman"/>
          <w:sz w:val="24"/>
          <w:szCs w:val="24"/>
        </w:rPr>
        <w:br/>
      </w:r>
      <w:r w:rsidRPr="00DF56FF">
        <w:rPr>
          <w:rFonts w:ascii="Times New Roman" w:hAnsi="Times New Roman" w:cs="Times New Roman"/>
          <w:b/>
          <w:sz w:val="24"/>
          <w:szCs w:val="24"/>
        </w:rPr>
        <w:t>Tratamiento de la ganancia de capital</w:t>
      </w:r>
    </w:p>
    <w:p w:rsidR="00BF4A48" w:rsidRPr="00BF4A48" w:rsidRDefault="00BF4A48" w:rsidP="00BF4A48">
      <w:pPr>
        <w:jc w:val="both"/>
        <w:rPr>
          <w:rFonts w:ascii="Times New Roman" w:hAnsi="Times New Roman" w:cs="Times New Roman"/>
          <w:sz w:val="24"/>
          <w:szCs w:val="24"/>
        </w:rPr>
      </w:pPr>
      <w:r w:rsidRPr="00DF56FF">
        <w:rPr>
          <w:rFonts w:ascii="Times New Roman" w:hAnsi="Times New Roman" w:cs="Times New Roman"/>
          <w:sz w:val="24"/>
          <w:szCs w:val="24"/>
        </w:rPr>
        <w:t xml:space="preserve"> Art. 14) La ganancia de capital obtenida por una persona natural o jurídica que no se dedique habitualmente a la compraventa de bienes muebles o inmuebles, constituye ganancia </w:t>
      </w:r>
      <w:r>
        <w:rPr>
          <w:rFonts w:ascii="Times New Roman" w:hAnsi="Times New Roman" w:cs="Times New Roman"/>
          <w:sz w:val="24"/>
          <w:szCs w:val="24"/>
        </w:rPr>
        <w:t>de capital.</w:t>
      </w:r>
    </w:p>
    <w:p w:rsidR="005C652A" w:rsidRPr="00DF56FF" w:rsidRDefault="005C652A" w:rsidP="005C652A">
      <w:pPr>
        <w:jc w:val="both"/>
        <w:rPr>
          <w:rFonts w:ascii="Times New Roman" w:hAnsi="Times New Roman" w:cs="Times New Roman"/>
          <w:b/>
          <w:sz w:val="24"/>
          <w:szCs w:val="24"/>
        </w:rPr>
      </w:pPr>
      <w:r w:rsidRPr="00DF56FF">
        <w:rPr>
          <w:rFonts w:ascii="Times New Roman" w:hAnsi="Times New Roman" w:cs="Times New Roman"/>
          <w:b/>
          <w:sz w:val="24"/>
          <w:szCs w:val="24"/>
        </w:rPr>
        <w:lastRenderedPageBreak/>
        <w:t>Tratamiento de los costos y gastos no deducibles</w:t>
      </w:r>
    </w:p>
    <w:p w:rsidR="005C652A" w:rsidRPr="00DF56FF" w:rsidRDefault="005C652A" w:rsidP="005C652A">
      <w:pPr>
        <w:jc w:val="both"/>
        <w:rPr>
          <w:rFonts w:ascii="Times New Roman" w:hAnsi="Times New Roman" w:cs="Times New Roman"/>
          <w:sz w:val="24"/>
          <w:szCs w:val="24"/>
        </w:rPr>
      </w:pPr>
      <w:r w:rsidRPr="00DF56FF">
        <w:rPr>
          <w:rFonts w:ascii="Times New Roman" w:hAnsi="Times New Roman" w:cs="Times New Roman"/>
          <w:sz w:val="24"/>
          <w:szCs w:val="24"/>
        </w:rPr>
        <w:t xml:space="preserve"> Art. 29-A) No son deducibles de la renta obtenida, los costos y gastos que no sean necesarios y propios del negocio, destinados exclusivamente a los fines del mismo.</w:t>
      </w:r>
      <w:r w:rsidRPr="00DF56FF">
        <w:rPr>
          <w:rFonts w:ascii="Times New Roman" w:hAnsi="Times New Roman" w:cs="Times New Roman"/>
          <w:sz w:val="24"/>
          <w:szCs w:val="24"/>
        </w:rPr>
        <w:br/>
      </w:r>
    </w:p>
    <w:p w:rsidR="007B77C9" w:rsidRPr="00DF56FF" w:rsidRDefault="007B77C9" w:rsidP="007B77C9">
      <w:pPr>
        <w:jc w:val="both"/>
        <w:rPr>
          <w:rFonts w:ascii="Times New Roman" w:hAnsi="Times New Roman" w:cs="Times New Roman"/>
          <w:b/>
          <w:sz w:val="24"/>
          <w:szCs w:val="24"/>
        </w:rPr>
      </w:pPr>
      <w:r w:rsidRPr="00DF56FF">
        <w:rPr>
          <w:rFonts w:ascii="Times New Roman" w:hAnsi="Times New Roman" w:cs="Times New Roman"/>
          <w:b/>
          <w:sz w:val="24"/>
          <w:szCs w:val="24"/>
        </w:rPr>
        <w:t>Tratamiento de la depreciación</w:t>
      </w:r>
    </w:p>
    <w:p w:rsidR="007B77C9" w:rsidRDefault="007B77C9" w:rsidP="007B77C9">
      <w:pPr>
        <w:jc w:val="both"/>
        <w:rPr>
          <w:rFonts w:ascii="Times New Roman" w:hAnsi="Times New Roman" w:cs="Times New Roman"/>
          <w:sz w:val="24"/>
          <w:szCs w:val="24"/>
        </w:rPr>
      </w:pPr>
      <w:r w:rsidRPr="00DF56FF">
        <w:rPr>
          <w:rFonts w:ascii="Times New Roman" w:hAnsi="Times New Roman" w:cs="Times New Roman"/>
          <w:sz w:val="24"/>
          <w:szCs w:val="24"/>
        </w:rPr>
        <w:t xml:space="preserve">Art. 30 ISR y 35 LISR) Es deducible de la renta obtenida, el costo de adquisición de los bienes aprovechados por el contribuyente, para la generación de la renta computable. Porcentajes fijos sobre el valor sujeto a depreciación: </w:t>
      </w:r>
    </w:p>
    <w:p w:rsidR="007B77C9" w:rsidRDefault="007B77C9" w:rsidP="007B77C9">
      <w:pPr>
        <w:jc w:val="both"/>
        <w:rPr>
          <w:rFonts w:ascii="Times New Roman" w:hAnsi="Times New Roman" w:cs="Times New Roman"/>
          <w:sz w:val="24"/>
          <w:szCs w:val="24"/>
        </w:rPr>
      </w:pPr>
      <w:r>
        <w:rPr>
          <w:rFonts w:ascii="Times New Roman" w:hAnsi="Times New Roman" w:cs="Times New Roman"/>
          <w:sz w:val="24"/>
          <w:szCs w:val="24"/>
        </w:rPr>
        <w:t xml:space="preserve">a) Edificios: 5% </w:t>
      </w:r>
    </w:p>
    <w:p w:rsidR="007B77C9" w:rsidRDefault="007B77C9" w:rsidP="007B77C9">
      <w:pPr>
        <w:jc w:val="both"/>
        <w:rPr>
          <w:rFonts w:ascii="Times New Roman" w:hAnsi="Times New Roman" w:cs="Times New Roman"/>
          <w:sz w:val="24"/>
          <w:szCs w:val="24"/>
        </w:rPr>
      </w:pPr>
      <w:r>
        <w:rPr>
          <w:rFonts w:ascii="Times New Roman" w:hAnsi="Times New Roman" w:cs="Times New Roman"/>
          <w:sz w:val="24"/>
          <w:szCs w:val="24"/>
        </w:rPr>
        <w:t>b) Maquinaria: 20%</w:t>
      </w:r>
    </w:p>
    <w:p w:rsidR="007B77C9" w:rsidRDefault="007B77C9" w:rsidP="007B77C9">
      <w:pPr>
        <w:jc w:val="both"/>
        <w:rPr>
          <w:rFonts w:ascii="Times New Roman" w:hAnsi="Times New Roman" w:cs="Times New Roman"/>
          <w:sz w:val="24"/>
          <w:szCs w:val="24"/>
        </w:rPr>
      </w:pPr>
      <w:r>
        <w:rPr>
          <w:rFonts w:ascii="Times New Roman" w:hAnsi="Times New Roman" w:cs="Times New Roman"/>
          <w:sz w:val="24"/>
          <w:szCs w:val="24"/>
        </w:rPr>
        <w:t xml:space="preserve">c) Vehículos: 25% </w:t>
      </w:r>
    </w:p>
    <w:p w:rsidR="007B77C9" w:rsidRPr="00DF56FF" w:rsidRDefault="007B77C9" w:rsidP="007B77C9">
      <w:pPr>
        <w:rPr>
          <w:rFonts w:ascii="Times New Roman" w:hAnsi="Times New Roman" w:cs="Times New Roman"/>
          <w:sz w:val="24"/>
          <w:szCs w:val="24"/>
        </w:rPr>
      </w:pPr>
      <w:r w:rsidRPr="00DF56FF">
        <w:rPr>
          <w:rFonts w:ascii="Times New Roman" w:hAnsi="Times New Roman" w:cs="Times New Roman"/>
          <w:sz w:val="24"/>
          <w:szCs w:val="24"/>
        </w:rPr>
        <w:t xml:space="preserve"> </w:t>
      </w:r>
      <w:r>
        <w:rPr>
          <w:rFonts w:ascii="Times New Roman" w:hAnsi="Times New Roman" w:cs="Times New Roman"/>
          <w:sz w:val="24"/>
          <w:szCs w:val="24"/>
        </w:rPr>
        <w:t>d)</w:t>
      </w:r>
      <w:r w:rsidRPr="00DF56FF">
        <w:rPr>
          <w:rFonts w:ascii="Times New Roman" w:hAnsi="Times New Roman" w:cs="Times New Roman"/>
          <w:sz w:val="24"/>
          <w:szCs w:val="24"/>
        </w:rPr>
        <w:t xml:space="preserve"> Otros bienes muebles 50%</w:t>
      </w:r>
      <w:r w:rsidRPr="00DF56FF">
        <w:rPr>
          <w:rFonts w:ascii="Times New Roman" w:hAnsi="Times New Roman" w:cs="Times New Roman"/>
          <w:sz w:val="24"/>
          <w:szCs w:val="24"/>
        </w:rPr>
        <w:br/>
      </w:r>
    </w:p>
    <w:p w:rsidR="007B77C9" w:rsidRPr="00DF56FF" w:rsidRDefault="007B77C9" w:rsidP="007B77C9">
      <w:pPr>
        <w:jc w:val="both"/>
        <w:rPr>
          <w:rFonts w:ascii="Times New Roman" w:hAnsi="Times New Roman" w:cs="Times New Roman"/>
          <w:b/>
          <w:sz w:val="24"/>
          <w:szCs w:val="24"/>
        </w:rPr>
      </w:pPr>
      <w:r w:rsidRPr="00DF56FF">
        <w:rPr>
          <w:rFonts w:ascii="Times New Roman" w:hAnsi="Times New Roman" w:cs="Times New Roman"/>
          <w:b/>
          <w:sz w:val="24"/>
          <w:szCs w:val="24"/>
        </w:rPr>
        <w:t>Tratamiento de las deudas incobrables</w:t>
      </w:r>
    </w:p>
    <w:p w:rsidR="007B77C9" w:rsidRDefault="007B77C9" w:rsidP="007B77C9">
      <w:pPr>
        <w:jc w:val="both"/>
        <w:rPr>
          <w:rFonts w:ascii="Times New Roman" w:hAnsi="Times New Roman" w:cs="Times New Roman"/>
          <w:sz w:val="24"/>
          <w:szCs w:val="24"/>
        </w:rPr>
      </w:pPr>
      <w:r w:rsidRPr="00DF56FF">
        <w:rPr>
          <w:rFonts w:ascii="Times New Roman" w:hAnsi="Times New Roman" w:cs="Times New Roman"/>
          <w:sz w:val="24"/>
          <w:szCs w:val="24"/>
        </w:rPr>
        <w:t xml:space="preserve">Art. 31, # 2) Son deducibles de la Renta obtenida el saldo de las deudas incobrables cuando se compruebe que han transcurrido más de doce meses desde la fecha de su vencimiento, sin que el deudor haya verificado abono alguno. Siempre que se llenen los requisitos siguientes: </w:t>
      </w:r>
    </w:p>
    <w:p w:rsidR="007B77C9" w:rsidRDefault="007B77C9" w:rsidP="007B77C9">
      <w:pPr>
        <w:jc w:val="both"/>
        <w:rPr>
          <w:rFonts w:ascii="Times New Roman" w:hAnsi="Times New Roman" w:cs="Times New Roman"/>
          <w:sz w:val="24"/>
          <w:szCs w:val="24"/>
        </w:rPr>
      </w:pPr>
      <w:r w:rsidRPr="00DF56FF">
        <w:rPr>
          <w:rFonts w:ascii="Times New Roman" w:hAnsi="Times New Roman" w:cs="Times New Roman"/>
          <w:sz w:val="24"/>
          <w:szCs w:val="24"/>
        </w:rPr>
        <w:t>a) Que la deuda provenga de operaciones propias del negocio;</w:t>
      </w:r>
    </w:p>
    <w:p w:rsidR="007B77C9" w:rsidRDefault="007B77C9" w:rsidP="007B77C9">
      <w:pPr>
        <w:jc w:val="both"/>
        <w:rPr>
          <w:rFonts w:ascii="Times New Roman" w:hAnsi="Times New Roman" w:cs="Times New Roman"/>
          <w:sz w:val="24"/>
          <w:szCs w:val="24"/>
        </w:rPr>
      </w:pPr>
      <w:r w:rsidRPr="00DF56FF">
        <w:rPr>
          <w:rFonts w:ascii="Times New Roman" w:hAnsi="Times New Roman" w:cs="Times New Roman"/>
          <w:sz w:val="24"/>
          <w:szCs w:val="24"/>
        </w:rPr>
        <w:t xml:space="preserve"> b) Que en su oportunidad se haya computado como ingreso gravable; </w:t>
      </w:r>
    </w:p>
    <w:p w:rsidR="00BF4A48" w:rsidRDefault="007B77C9" w:rsidP="00BF4A48">
      <w:pPr>
        <w:jc w:val="both"/>
        <w:rPr>
          <w:rFonts w:ascii="Times New Roman" w:hAnsi="Times New Roman" w:cs="Times New Roman"/>
          <w:sz w:val="24"/>
          <w:szCs w:val="24"/>
        </w:rPr>
      </w:pPr>
      <w:r w:rsidRPr="00DF56FF">
        <w:rPr>
          <w:rFonts w:ascii="Times New Roman" w:hAnsi="Times New Roman" w:cs="Times New Roman"/>
          <w:sz w:val="24"/>
          <w:szCs w:val="24"/>
        </w:rPr>
        <w:t>c) Que se encuentre anotada en registros especiales según el caso.</w:t>
      </w:r>
    </w:p>
    <w:p w:rsidR="007B77C9" w:rsidRPr="007B77C9" w:rsidRDefault="007B77C9" w:rsidP="00BF4A48">
      <w:pPr>
        <w:jc w:val="both"/>
        <w:rPr>
          <w:rFonts w:ascii="Times New Roman" w:hAnsi="Times New Roman" w:cs="Times New Roman"/>
          <w:sz w:val="24"/>
          <w:szCs w:val="24"/>
        </w:rPr>
      </w:pPr>
    </w:p>
    <w:p w:rsidR="007B77C9" w:rsidRPr="007B77C9" w:rsidRDefault="007B77C9" w:rsidP="00BF4A48">
      <w:pPr>
        <w:jc w:val="both"/>
        <w:rPr>
          <w:rFonts w:ascii="Times New Roman" w:hAnsi="Times New Roman" w:cs="Times New Roman"/>
          <w:b/>
          <w:sz w:val="24"/>
          <w:szCs w:val="24"/>
        </w:rPr>
      </w:pPr>
      <w:r w:rsidRPr="007B77C9">
        <w:rPr>
          <w:rFonts w:ascii="Times New Roman" w:hAnsi="Times New Roman" w:cs="Times New Roman"/>
          <w:b/>
          <w:sz w:val="24"/>
          <w:szCs w:val="24"/>
        </w:rPr>
        <w:t>Los artículos con últimas reformas en el 2012:</w:t>
      </w:r>
    </w:p>
    <w:p w:rsidR="007B77C9" w:rsidRPr="007B77C9" w:rsidRDefault="007B77C9" w:rsidP="007B77C9">
      <w:pPr>
        <w:pStyle w:val="Prrafodelista"/>
        <w:numPr>
          <w:ilvl w:val="0"/>
          <w:numId w:val="2"/>
        </w:numPr>
        <w:jc w:val="both"/>
        <w:rPr>
          <w:rFonts w:ascii="Times New Roman" w:hAnsi="Times New Roman" w:cs="Times New Roman"/>
          <w:sz w:val="24"/>
          <w:szCs w:val="24"/>
        </w:rPr>
      </w:pPr>
      <w:r w:rsidRPr="007B77C9">
        <w:rPr>
          <w:rFonts w:ascii="Times New Roman" w:hAnsi="Times New Roman" w:cs="Times New Roman"/>
          <w:sz w:val="24"/>
          <w:szCs w:val="24"/>
        </w:rPr>
        <w:t>Se reforma el numeral 7 del artículo 29 de la Ley del Impuesto sobre la Renta</w:t>
      </w:r>
    </w:p>
    <w:p w:rsidR="007B77C9" w:rsidRPr="007B77C9" w:rsidRDefault="007B77C9" w:rsidP="007B77C9">
      <w:pPr>
        <w:pStyle w:val="Prrafodelista"/>
        <w:numPr>
          <w:ilvl w:val="0"/>
          <w:numId w:val="2"/>
        </w:numPr>
        <w:jc w:val="both"/>
        <w:rPr>
          <w:rFonts w:ascii="Times New Roman" w:hAnsi="Times New Roman" w:cs="Times New Roman"/>
          <w:sz w:val="24"/>
          <w:szCs w:val="24"/>
        </w:rPr>
      </w:pPr>
      <w:r w:rsidRPr="007B77C9">
        <w:rPr>
          <w:rFonts w:ascii="Times New Roman" w:hAnsi="Times New Roman" w:cs="Times New Roman"/>
          <w:sz w:val="24"/>
          <w:szCs w:val="24"/>
        </w:rPr>
        <w:t>Se sustituye el artículo 37 de la Ley de Impuesto sobre la Renta y su acápite</w:t>
      </w:r>
    </w:p>
    <w:p w:rsidR="007B77C9" w:rsidRPr="007B77C9" w:rsidRDefault="007B77C9" w:rsidP="007B77C9">
      <w:pPr>
        <w:pStyle w:val="Prrafodelista"/>
        <w:numPr>
          <w:ilvl w:val="0"/>
          <w:numId w:val="2"/>
        </w:numPr>
        <w:jc w:val="both"/>
        <w:rPr>
          <w:rFonts w:ascii="Times New Roman" w:hAnsi="Times New Roman" w:cs="Times New Roman"/>
          <w:sz w:val="24"/>
          <w:szCs w:val="24"/>
        </w:rPr>
      </w:pPr>
      <w:r w:rsidRPr="007B77C9">
        <w:rPr>
          <w:rFonts w:ascii="Times New Roman" w:hAnsi="Times New Roman" w:cs="Times New Roman"/>
          <w:sz w:val="24"/>
          <w:szCs w:val="24"/>
        </w:rPr>
        <w:t>Se sustituye el artículo 38 de la Ley del Impuesto sobre la Renta.</w:t>
      </w:r>
    </w:p>
    <w:p w:rsidR="007B77C9" w:rsidRPr="007B77C9" w:rsidRDefault="007B77C9" w:rsidP="007B77C9">
      <w:pPr>
        <w:pStyle w:val="NormalWeb"/>
        <w:numPr>
          <w:ilvl w:val="0"/>
          <w:numId w:val="2"/>
        </w:numPr>
      </w:pPr>
      <w:r w:rsidRPr="007B77C9">
        <w:t xml:space="preserve">Se sustituye el artículo 41 de la Ley del Impuesto sobre la Renta: </w:t>
      </w:r>
    </w:p>
    <w:p w:rsidR="007B77C9" w:rsidRPr="007B77C9" w:rsidRDefault="007B77C9" w:rsidP="007B77C9">
      <w:pPr>
        <w:pStyle w:val="NormalWeb"/>
        <w:ind w:left="420"/>
        <w:jc w:val="both"/>
      </w:pPr>
      <w:r w:rsidRPr="007B77C9">
        <w:t xml:space="preserve">Las personas jurídicas, uniones de personas, sociedades irregulares o de hecho, domiciliadas o no, harán el cálculo del impuesto aplicando a la renta imponible el 30%, </w:t>
      </w:r>
      <w:r w:rsidRPr="007B77C9">
        <w:lastRenderedPageBreak/>
        <w:t xml:space="preserve">y se hacen excepciones en los sujetos pasivos que se hayan obtenido rentas gravadas menores o iguales a $150,000.00 a los cuales se les aplicarán el 25%. </w:t>
      </w:r>
    </w:p>
    <w:p w:rsidR="007B77C9" w:rsidRPr="007B77C9" w:rsidRDefault="007B77C9" w:rsidP="007B77C9">
      <w:pPr>
        <w:pStyle w:val="Prrafodelista"/>
        <w:numPr>
          <w:ilvl w:val="0"/>
          <w:numId w:val="2"/>
        </w:numPr>
        <w:jc w:val="both"/>
        <w:rPr>
          <w:rFonts w:ascii="Times New Roman" w:hAnsi="Times New Roman" w:cs="Times New Roman"/>
          <w:sz w:val="24"/>
          <w:szCs w:val="24"/>
        </w:rPr>
      </w:pPr>
      <w:r w:rsidRPr="007B77C9">
        <w:rPr>
          <w:rFonts w:ascii="Times New Roman" w:hAnsi="Times New Roman" w:cs="Times New Roman"/>
          <w:sz w:val="24"/>
          <w:szCs w:val="24"/>
        </w:rPr>
        <w:t>Se adicionan 3 incisos al artículo 65 de la Ley del Impuesto sobre la Renta.</w:t>
      </w:r>
    </w:p>
    <w:sectPr w:rsidR="007B77C9" w:rsidRPr="007B77C9" w:rsidSect="0055346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10.9pt;height:10.9pt" o:bullet="t">
        <v:imagedata r:id="rId1" o:title="BD14981_"/>
      </v:shape>
    </w:pict>
  </w:numPicBullet>
  <w:abstractNum w:abstractNumId="0">
    <w:nsid w:val="35F71591"/>
    <w:multiLevelType w:val="hybridMultilevel"/>
    <w:tmpl w:val="388CB520"/>
    <w:lvl w:ilvl="0" w:tplc="4372EFB0">
      <w:start w:val="1"/>
      <w:numFmt w:val="bullet"/>
      <w:lvlText w:val=""/>
      <w:lvlPicBulletId w:val="0"/>
      <w:lvlJc w:val="left"/>
      <w:pPr>
        <w:ind w:left="720" w:hanging="360"/>
      </w:pPr>
      <w:rPr>
        <w:rFonts w:ascii="Symbol" w:hAnsi="Symbol" w:hint="default"/>
        <w:color w:val="auto"/>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66581785"/>
    <w:multiLevelType w:val="hybridMultilevel"/>
    <w:tmpl w:val="2C68E040"/>
    <w:lvl w:ilvl="0" w:tplc="C596C572">
      <w:start w:val="1"/>
      <w:numFmt w:val="lowerLetter"/>
      <w:lvlText w:val="%1)"/>
      <w:lvlJc w:val="left"/>
      <w:pPr>
        <w:ind w:left="420" w:hanging="360"/>
      </w:pPr>
      <w:rPr>
        <w:rFonts w:hint="default"/>
      </w:rPr>
    </w:lvl>
    <w:lvl w:ilvl="1" w:tplc="440A0019" w:tentative="1">
      <w:start w:val="1"/>
      <w:numFmt w:val="lowerLetter"/>
      <w:lvlText w:val="%2."/>
      <w:lvlJc w:val="left"/>
      <w:pPr>
        <w:ind w:left="1140" w:hanging="360"/>
      </w:pPr>
    </w:lvl>
    <w:lvl w:ilvl="2" w:tplc="440A001B" w:tentative="1">
      <w:start w:val="1"/>
      <w:numFmt w:val="lowerRoman"/>
      <w:lvlText w:val="%3."/>
      <w:lvlJc w:val="right"/>
      <w:pPr>
        <w:ind w:left="1860" w:hanging="180"/>
      </w:pPr>
    </w:lvl>
    <w:lvl w:ilvl="3" w:tplc="440A000F" w:tentative="1">
      <w:start w:val="1"/>
      <w:numFmt w:val="decimal"/>
      <w:lvlText w:val="%4."/>
      <w:lvlJc w:val="left"/>
      <w:pPr>
        <w:ind w:left="2580" w:hanging="360"/>
      </w:pPr>
    </w:lvl>
    <w:lvl w:ilvl="4" w:tplc="440A0019" w:tentative="1">
      <w:start w:val="1"/>
      <w:numFmt w:val="lowerLetter"/>
      <w:lvlText w:val="%5."/>
      <w:lvlJc w:val="left"/>
      <w:pPr>
        <w:ind w:left="3300" w:hanging="360"/>
      </w:pPr>
    </w:lvl>
    <w:lvl w:ilvl="5" w:tplc="440A001B" w:tentative="1">
      <w:start w:val="1"/>
      <w:numFmt w:val="lowerRoman"/>
      <w:lvlText w:val="%6."/>
      <w:lvlJc w:val="right"/>
      <w:pPr>
        <w:ind w:left="4020" w:hanging="180"/>
      </w:pPr>
    </w:lvl>
    <w:lvl w:ilvl="6" w:tplc="440A000F" w:tentative="1">
      <w:start w:val="1"/>
      <w:numFmt w:val="decimal"/>
      <w:lvlText w:val="%7."/>
      <w:lvlJc w:val="left"/>
      <w:pPr>
        <w:ind w:left="4740" w:hanging="360"/>
      </w:pPr>
    </w:lvl>
    <w:lvl w:ilvl="7" w:tplc="440A0019" w:tentative="1">
      <w:start w:val="1"/>
      <w:numFmt w:val="lowerLetter"/>
      <w:lvlText w:val="%8."/>
      <w:lvlJc w:val="left"/>
      <w:pPr>
        <w:ind w:left="5460" w:hanging="360"/>
      </w:pPr>
    </w:lvl>
    <w:lvl w:ilvl="8" w:tplc="440A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BF4A48"/>
    <w:rsid w:val="0020391E"/>
    <w:rsid w:val="00553465"/>
    <w:rsid w:val="005C652A"/>
    <w:rsid w:val="007B77C9"/>
    <w:rsid w:val="00AA5DBA"/>
    <w:rsid w:val="00BF4A48"/>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A48"/>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F4A4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F4A48"/>
    <w:rPr>
      <w:rFonts w:ascii="Tahoma" w:hAnsi="Tahoma" w:cs="Tahoma"/>
      <w:sz w:val="16"/>
      <w:szCs w:val="16"/>
    </w:rPr>
  </w:style>
  <w:style w:type="paragraph" w:styleId="Prrafodelista">
    <w:name w:val="List Paragraph"/>
    <w:basedOn w:val="Normal"/>
    <w:uiPriority w:val="34"/>
    <w:qFormat/>
    <w:rsid w:val="00BF4A48"/>
    <w:pPr>
      <w:ind w:left="720"/>
      <w:contextualSpacing/>
    </w:pPr>
  </w:style>
  <w:style w:type="paragraph" w:styleId="NormalWeb">
    <w:name w:val="Normal (Web)"/>
    <w:basedOn w:val="Normal"/>
    <w:uiPriority w:val="99"/>
    <w:semiHidden/>
    <w:unhideWhenUsed/>
    <w:rsid w:val="007B77C9"/>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webSettings.xml><?xml version="1.0" encoding="utf-8"?>
<w:webSettings xmlns:r="http://schemas.openxmlformats.org/officeDocument/2006/relationships" xmlns:w="http://schemas.openxmlformats.org/wordprocessingml/2006/main">
  <w:divs>
    <w:div w:id="106240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826B770-4E3E-4B6B-9ED9-371FEBF9AB78}" type="doc">
      <dgm:prSet loTypeId="urn:microsoft.com/office/officeart/2005/8/layout/pyramid2" loCatId="pyramid" qsTypeId="urn:microsoft.com/office/officeart/2005/8/quickstyle/3d1" qsCatId="3D" csTypeId="urn:microsoft.com/office/officeart/2005/8/colors/colorful5" csCatId="colorful" phldr="1"/>
      <dgm:spPr/>
      <dgm:t>
        <a:bodyPr/>
        <a:lstStyle/>
        <a:p>
          <a:endParaRPr lang="es-SV"/>
        </a:p>
      </dgm:t>
    </dgm:pt>
    <dgm:pt modelId="{5AC3135F-F6F1-43F2-9CBC-F5D5FCD48CDB}">
      <dgm:prSet custT="1">
        <dgm:style>
          <a:lnRef idx="2">
            <a:schemeClr val="accent6"/>
          </a:lnRef>
          <a:fillRef idx="1">
            <a:schemeClr val="lt1"/>
          </a:fillRef>
          <a:effectRef idx="0">
            <a:schemeClr val="accent6"/>
          </a:effectRef>
          <a:fontRef idx="minor">
            <a:schemeClr val="dk1"/>
          </a:fontRef>
        </dgm:style>
      </dgm:prSet>
      <dgm:spPr/>
      <dgm:t>
        <a:bodyPr/>
        <a:lstStyle/>
        <a:p>
          <a:pPr rtl="0"/>
          <a:r>
            <a:rPr lang="es-SV" sz="1200" dirty="0" smtClean="0"/>
            <a:t>Ingreso mínimo exento, es decir, que no se paga por debajo de determinada renta. Esta exención pretende beneficiar a los sectores menos favorecidos de la población</a:t>
          </a:r>
          <a:r>
            <a:rPr lang="es-SV" sz="1400" dirty="0" smtClean="0"/>
            <a:t>. </a:t>
          </a:r>
          <a:endParaRPr lang="es-SV" sz="1400" dirty="0"/>
        </a:p>
      </dgm:t>
    </dgm:pt>
    <dgm:pt modelId="{B91C7CA0-8253-4EED-B2BC-CD0A91931B20}" type="parTrans" cxnId="{8DAA0450-5ACD-418C-927D-B63795954DA3}">
      <dgm:prSet/>
      <dgm:spPr/>
      <dgm:t>
        <a:bodyPr/>
        <a:lstStyle/>
        <a:p>
          <a:endParaRPr lang="es-SV"/>
        </a:p>
      </dgm:t>
    </dgm:pt>
    <dgm:pt modelId="{CCBC2242-CCC5-4935-B8EA-4A2BA20C0945}" type="sibTrans" cxnId="{8DAA0450-5ACD-418C-927D-B63795954DA3}">
      <dgm:prSet/>
      <dgm:spPr/>
      <dgm:t>
        <a:bodyPr/>
        <a:lstStyle/>
        <a:p>
          <a:endParaRPr lang="es-SV"/>
        </a:p>
      </dgm:t>
    </dgm:pt>
    <dgm:pt modelId="{3AF1EC64-641C-424A-B19F-B82D5A1FCBBD}">
      <dgm:prSet custT="1">
        <dgm:style>
          <a:lnRef idx="2">
            <a:schemeClr val="accent6"/>
          </a:lnRef>
          <a:fillRef idx="1">
            <a:schemeClr val="lt1"/>
          </a:fillRef>
          <a:effectRef idx="0">
            <a:schemeClr val="accent6"/>
          </a:effectRef>
          <a:fontRef idx="minor">
            <a:schemeClr val="dk1"/>
          </a:fontRef>
        </dgm:style>
      </dgm:prSet>
      <dgm:spPr/>
      <dgm:t>
        <a:bodyPr/>
        <a:lstStyle/>
        <a:p>
          <a:pPr rtl="0"/>
          <a:r>
            <a:rPr lang="es-SV" sz="1200" dirty="0" smtClean="0"/>
            <a:t>Tipo impositivo (porcentaje de renta que hay que pagar)  crece cuando aumenta la renta, es decir, que cuanto más se gana más se paga. </a:t>
          </a:r>
          <a:endParaRPr lang="es-SV" sz="1200" dirty="0"/>
        </a:p>
      </dgm:t>
    </dgm:pt>
    <dgm:pt modelId="{360936BE-3450-4D86-8BA7-C5EAC745ABE0}" type="parTrans" cxnId="{F66F07E2-178B-4087-966F-FD37CDF65130}">
      <dgm:prSet/>
      <dgm:spPr/>
      <dgm:t>
        <a:bodyPr/>
        <a:lstStyle/>
        <a:p>
          <a:endParaRPr lang="es-SV"/>
        </a:p>
      </dgm:t>
    </dgm:pt>
    <dgm:pt modelId="{7443D32A-7244-45A0-85AC-02383E25CF49}" type="sibTrans" cxnId="{F66F07E2-178B-4087-966F-FD37CDF65130}">
      <dgm:prSet/>
      <dgm:spPr/>
      <dgm:t>
        <a:bodyPr/>
        <a:lstStyle/>
        <a:p>
          <a:endParaRPr lang="es-SV"/>
        </a:p>
      </dgm:t>
    </dgm:pt>
    <dgm:pt modelId="{90C3FCEC-A880-4FE5-B922-C7385D6E8E5C}">
      <dgm:prSet custT="1">
        <dgm:style>
          <a:lnRef idx="2">
            <a:schemeClr val="accent6"/>
          </a:lnRef>
          <a:fillRef idx="1">
            <a:schemeClr val="lt1"/>
          </a:fillRef>
          <a:effectRef idx="0">
            <a:schemeClr val="accent6"/>
          </a:effectRef>
          <a:fontRef idx="minor">
            <a:schemeClr val="dk1"/>
          </a:fontRef>
        </dgm:style>
      </dgm:prSet>
      <dgm:spPr/>
      <dgm:t>
        <a:bodyPr/>
        <a:lstStyle/>
        <a:p>
          <a:pPr rtl="0"/>
          <a:r>
            <a:rPr lang="es-SV" sz="1200" dirty="0" smtClean="0"/>
            <a:t>Gastos deducibles: costos asociados con el puesto de trabajo (trajes especiales, cotizaciones a asociaciones laborales y a sindicatos, etcétera), seguro médico, intereses pagados por hipotecas. </a:t>
          </a:r>
          <a:endParaRPr lang="es-SV" sz="1200" dirty="0"/>
        </a:p>
      </dgm:t>
    </dgm:pt>
    <dgm:pt modelId="{86236CB2-36A3-4E2A-9B90-3349B21D9DFC}" type="parTrans" cxnId="{B46EF604-BB93-475F-87F5-F2EFD6774326}">
      <dgm:prSet/>
      <dgm:spPr/>
      <dgm:t>
        <a:bodyPr/>
        <a:lstStyle/>
        <a:p>
          <a:endParaRPr lang="es-SV"/>
        </a:p>
      </dgm:t>
    </dgm:pt>
    <dgm:pt modelId="{CB80B604-E927-4200-BA41-3C7B5C5FD768}" type="sibTrans" cxnId="{B46EF604-BB93-475F-87F5-F2EFD6774326}">
      <dgm:prSet/>
      <dgm:spPr/>
      <dgm:t>
        <a:bodyPr/>
        <a:lstStyle/>
        <a:p>
          <a:endParaRPr lang="es-SV"/>
        </a:p>
      </dgm:t>
    </dgm:pt>
    <dgm:pt modelId="{956F0239-67F9-4F13-8433-16993611FDF9}" type="pres">
      <dgm:prSet presAssocID="{8826B770-4E3E-4B6B-9ED9-371FEBF9AB78}" presName="compositeShape" presStyleCnt="0">
        <dgm:presLayoutVars>
          <dgm:dir/>
          <dgm:resizeHandles/>
        </dgm:presLayoutVars>
      </dgm:prSet>
      <dgm:spPr/>
      <dgm:t>
        <a:bodyPr/>
        <a:lstStyle/>
        <a:p>
          <a:endParaRPr lang="es-SV"/>
        </a:p>
      </dgm:t>
    </dgm:pt>
    <dgm:pt modelId="{F7E5C92F-830A-40E5-8CF1-9B091EB25727}" type="pres">
      <dgm:prSet presAssocID="{8826B770-4E3E-4B6B-9ED9-371FEBF9AB78}" presName="pyramid" presStyleLbl="node1" presStyleIdx="0" presStyleCnt="1"/>
      <dgm:spPr/>
    </dgm:pt>
    <dgm:pt modelId="{24CC13DC-192E-45E1-B8B9-5BB8BF21215F}" type="pres">
      <dgm:prSet presAssocID="{8826B770-4E3E-4B6B-9ED9-371FEBF9AB78}" presName="theList" presStyleCnt="0"/>
      <dgm:spPr/>
    </dgm:pt>
    <dgm:pt modelId="{E6562444-2D89-4ABB-87EC-DB991CA38210}" type="pres">
      <dgm:prSet presAssocID="{5AC3135F-F6F1-43F2-9CBC-F5D5FCD48CDB}" presName="aNode" presStyleLbl="fgAcc1" presStyleIdx="0" presStyleCnt="3">
        <dgm:presLayoutVars>
          <dgm:bulletEnabled val="1"/>
        </dgm:presLayoutVars>
      </dgm:prSet>
      <dgm:spPr/>
      <dgm:t>
        <a:bodyPr/>
        <a:lstStyle/>
        <a:p>
          <a:endParaRPr lang="es-SV"/>
        </a:p>
      </dgm:t>
    </dgm:pt>
    <dgm:pt modelId="{855B19AB-93FE-4788-BB48-8B81FB951004}" type="pres">
      <dgm:prSet presAssocID="{5AC3135F-F6F1-43F2-9CBC-F5D5FCD48CDB}" presName="aSpace" presStyleCnt="0"/>
      <dgm:spPr/>
    </dgm:pt>
    <dgm:pt modelId="{D9F2ACD0-9A9E-4910-8A8C-3227F76437BA}" type="pres">
      <dgm:prSet presAssocID="{3AF1EC64-641C-424A-B19F-B82D5A1FCBBD}" presName="aNode" presStyleLbl="fgAcc1" presStyleIdx="1" presStyleCnt="3">
        <dgm:presLayoutVars>
          <dgm:bulletEnabled val="1"/>
        </dgm:presLayoutVars>
      </dgm:prSet>
      <dgm:spPr/>
      <dgm:t>
        <a:bodyPr/>
        <a:lstStyle/>
        <a:p>
          <a:endParaRPr lang="es-SV"/>
        </a:p>
      </dgm:t>
    </dgm:pt>
    <dgm:pt modelId="{FBF15842-77EB-47EA-82B0-C51A04D124EB}" type="pres">
      <dgm:prSet presAssocID="{3AF1EC64-641C-424A-B19F-B82D5A1FCBBD}" presName="aSpace" presStyleCnt="0"/>
      <dgm:spPr/>
    </dgm:pt>
    <dgm:pt modelId="{22BE3660-BD4C-42C8-A695-48BD71E67292}" type="pres">
      <dgm:prSet presAssocID="{90C3FCEC-A880-4FE5-B922-C7385D6E8E5C}" presName="aNode" presStyleLbl="fgAcc1" presStyleIdx="2" presStyleCnt="3">
        <dgm:presLayoutVars>
          <dgm:bulletEnabled val="1"/>
        </dgm:presLayoutVars>
      </dgm:prSet>
      <dgm:spPr/>
      <dgm:t>
        <a:bodyPr/>
        <a:lstStyle/>
        <a:p>
          <a:endParaRPr lang="es-SV"/>
        </a:p>
      </dgm:t>
    </dgm:pt>
    <dgm:pt modelId="{DB61D715-76A0-4FC7-814B-04249ECF6FE7}" type="pres">
      <dgm:prSet presAssocID="{90C3FCEC-A880-4FE5-B922-C7385D6E8E5C}" presName="aSpace" presStyleCnt="0"/>
      <dgm:spPr/>
    </dgm:pt>
  </dgm:ptLst>
  <dgm:cxnLst>
    <dgm:cxn modelId="{8DAA0450-5ACD-418C-927D-B63795954DA3}" srcId="{8826B770-4E3E-4B6B-9ED9-371FEBF9AB78}" destId="{5AC3135F-F6F1-43F2-9CBC-F5D5FCD48CDB}" srcOrd="0" destOrd="0" parTransId="{B91C7CA0-8253-4EED-B2BC-CD0A91931B20}" sibTransId="{CCBC2242-CCC5-4935-B8EA-4A2BA20C0945}"/>
    <dgm:cxn modelId="{FC53FE81-B5C5-439E-9238-2F2C2EACF578}" type="presOf" srcId="{3AF1EC64-641C-424A-B19F-B82D5A1FCBBD}" destId="{D9F2ACD0-9A9E-4910-8A8C-3227F76437BA}" srcOrd="0" destOrd="0" presId="urn:microsoft.com/office/officeart/2005/8/layout/pyramid2"/>
    <dgm:cxn modelId="{B46EF604-BB93-475F-87F5-F2EFD6774326}" srcId="{8826B770-4E3E-4B6B-9ED9-371FEBF9AB78}" destId="{90C3FCEC-A880-4FE5-B922-C7385D6E8E5C}" srcOrd="2" destOrd="0" parTransId="{86236CB2-36A3-4E2A-9B90-3349B21D9DFC}" sibTransId="{CB80B604-E927-4200-BA41-3C7B5C5FD768}"/>
    <dgm:cxn modelId="{A042E20E-6E3F-45C5-B6ED-B104E04C6416}" type="presOf" srcId="{5AC3135F-F6F1-43F2-9CBC-F5D5FCD48CDB}" destId="{E6562444-2D89-4ABB-87EC-DB991CA38210}" srcOrd="0" destOrd="0" presId="urn:microsoft.com/office/officeart/2005/8/layout/pyramid2"/>
    <dgm:cxn modelId="{239C10AF-BEFA-4390-8D7F-0BA01C367958}" type="presOf" srcId="{90C3FCEC-A880-4FE5-B922-C7385D6E8E5C}" destId="{22BE3660-BD4C-42C8-A695-48BD71E67292}" srcOrd="0" destOrd="0" presId="urn:microsoft.com/office/officeart/2005/8/layout/pyramid2"/>
    <dgm:cxn modelId="{A9FF155A-7D41-43A5-AEC0-02D995617595}" type="presOf" srcId="{8826B770-4E3E-4B6B-9ED9-371FEBF9AB78}" destId="{956F0239-67F9-4F13-8433-16993611FDF9}" srcOrd="0" destOrd="0" presId="urn:microsoft.com/office/officeart/2005/8/layout/pyramid2"/>
    <dgm:cxn modelId="{F66F07E2-178B-4087-966F-FD37CDF65130}" srcId="{8826B770-4E3E-4B6B-9ED9-371FEBF9AB78}" destId="{3AF1EC64-641C-424A-B19F-B82D5A1FCBBD}" srcOrd="1" destOrd="0" parTransId="{360936BE-3450-4D86-8BA7-C5EAC745ABE0}" sibTransId="{7443D32A-7244-45A0-85AC-02383E25CF49}"/>
    <dgm:cxn modelId="{BFB1E034-E8AB-4E27-9EE4-807AE2563B78}" type="presParOf" srcId="{956F0239-67F9-4F13-8433-16993611FDF9}" destId="{F7E5C92F-830A-40E5-8CF1-9B091EB25727}" srcOrd="0" destOrd="0" presId="urn:microsoft.com/office/officeart/2005/8/layout/pyramid2"/>
    <dgm:cxn modelId="{2C51FB06-A72C-405C-9332-B849FAA109B2}" type="presParOf" srcId="{956F0239-67F9-4F13-8433-16993611FDF9}" destId="{24CC13DC-192E-45E1-B8B9-5BB8BF21215F}" srcOrd="1" destOrd="0" presId="urn:microsoft.com/office/officeart/2005/8/layout/pyramid2"/>
    <dgm:cxn modelId="{1D356454-F644-469A-9D58-2C36339C62BD}" type="presParOf" srcId="{24CC13DC-192E-45E1-B8B9-5BB8BF21215F}" destId="{E6562444-2D89-4ABB-87EC-DB991CA38210}" srcOrd="0" destOrd="0" presId="urn:microsoft.com/office/officeart/2005/8/layout/pyramid2"/>
    <dgm:cxn modelId="{9BA98C4B-040C-4B90-8621-8271FA5BD490}" type="presParOf" srcId="{24CC13DC-192E-45E1-B8B9-5BB8BF21215F}" destId="{855B19AB-93FE-4788-BB48-8B81FB951004}" srcOrd="1" destOrd="0" presId="urn:microsoft.com/office/officeart/2005/8/layout/pyramid2"/>
    <dgm:cxn modelId="{87A07247-6745-4A28-8BE2-2B9CA8D67514}" type="presParOf" srcId="{24CC13DC-192E-45E1-B8B9-5BB8BF21215F}" destId="{D9F2ACD0-9A9E-4910-8A8C-3227F76437BA}" srcOrd="2" destOrd="0" presId="urn:microsoft.com/office/officeart/2005/8/layout/pyramid2"/>
    <dgm:cxn modelId="{6266A6CF-31C5-40BD-A24D-8F5444967A68}" type="presParOf" srcId="{24CC13DC-192E-45E1-B8B9-5BB8BF21215F}" destId="{FBF15842-77EB-47EA-82B0-C51A04D124EB}" srcOrd="3" destOrd="0" presId="urn:microsoft.com/office/officeart/2005/8/layout/pyramid2"/>
    <dgm:cxn modelId="{1220628C-CEA3-40D4-8051-1F52FB354480}" type="presParOf" srcId="{24CC13DC-192E-45E1-B8B9-5BB8BF21215F}" destId="{22BE3660-BD4C-42C8-A695-48BD71E67292}" srcOrd="4" destOrd="0" presId="urn:microsoft.com/office/officeart/2005/8/layout/pyramid2"/>
    <dgm:cxn modelId="{DD06C611-2E95-4EEF-BA54-E914D3767DED}" type="presParOf" srcId="{24CC13DC-192E-45E1-B8B9-5BB8BF21215F}" destId="{DB61D715-76A0-4FC7-814B-04249ECF6FE7}" srcOrd="5" destOrd="0" presId="urn:microsoft.com/office/officeart/2005/8/layout/pyramid2"/>
  </dgm:cxnLst>
  <dgm:bg/>
  <dgm:whole/>
  <dgm:extLst>
    <a:ext uri="http://schemas.microsoft.com/office/drawing/2008/diagram">
      <dsp:dataModelExt xmlns:dsp="http://schemas.microsoft.com/office/drawing/2008/diagram" xmlns="" relId="rId9"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7E5C92F-830A-40E5-8CF1-9B091EB25727}">
      <dsp:nvSpPr>
        <dsp:cNvPr id="0" name=""/>
        <dsp:cNvSpPr/>
      </dsp:nvSpPr>
      <dsp:spPr>
        <a:xfrm>
          <a:off x="655818" y="0"/>
          <a:ext cx="4000057" cy="4000057"/>
        </a:xfrm>
        <a:prstGeom prst="triangle">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flat" dir="t"/>
        </a:scene3d>
        <a:sp3d prstMaterial="plastic">
          <a:bevelT w="120900" h="88900"/>
          <a:bevelB w="88900" h="31750" prst="angle"/>
        </a:sp3d>
      </dsp:spPr>
      <dsp:style>
        <a:lnRef idx="0">
          <a:scrgbClr r="0" g="0" b="0"/>
        </a:lnRef>
        <a:fillRef idx="3">
          <a:scrgbClr r="0" g="0" b="0"/>
        </a:fillRef>
        <a:effectRef idx="2">
          <a:scrgbClr r="0" g="0" b="0"/>
        </a:effectRef>
        <a:fontRef idx="minor">
          <a:schemeClr val="lt1"/>
        </a:fontRef>
      </dsp:style>
    </dsp:sp>
    <dsp:sp modelId="{E6562444-2D89-4ABB-87EC-DB991CA38210}">
      <dsp:nvSpPr>
        <dsp:cNvPr id="0" name=""/>
        <dsp:cNvSpPr/>
      </dsp:nvSpPr>
      <dsp:spPr>
        <a:xfrm>
          <a:off x="2655846" y="402154"/>
          <a:ext cx="2600037" cy="946888"/>
        </a:xfrm>
        <a:prstGeom prst="roundRect">
          <a:avLst/>
        </a:prstGeom>
        <a:solidFill>
          <a:schemeClr val="lt1"/>
        </a:solidFill>
        <a:ln w="25400" cap="flat" cmpd="sng" algn="ctr">
          <a:solidFill>
            <a:schemeClr val="accent6"/>
          </a:solidFill>
          <a:prstDash val="solid"/>
        </a:ln>
        <a:effectLst/>
        <a:scene3d>
          <a:camera prst="orthographicFront"/>
          <a:lightRig rig="flat" dir="t"/>
        </a:scene3d>
        <a:sp3d z="190500" extrusionH="12700"/>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rtl="0">
            <a:lnSpc>
              <a:spcPct val="90000"/>
            </a:lnSpc>
            <a:spcBef>
              <a:spcPct val="0"/>
            </a:spcBef>
            <a:spcAft>
              <a:spcPct val="35000"/>
            </a:spcAft>
          </a:pPr>
          <a:r>
            <a:rPr lang="es-SV" sz="1200" kern="1200" dirty="0" smtClean="0"/>
            <a:t>Ingreso mínimo exento, es decir, que no se paga por debajo de determinada renta. Esta exención pretende beneficiar a los sectores menos favorecidos de la población</a:t>
          </a:r>
          <a:r>
            <a:rPr lang="es-SV" sz="1400" kern="1200" dirty="0" smtClean="0"/>
            <a:t>. </a:t>
          </a:r>
          <a:endParaRPr lang="es-SV" sz="1400" kern="1200" dirty="0"/>
        </a:p>
      </dsp:txBody>
      <dsp:txXfrm>
        <a:off x="2655846" y="402154"/>
        <a:ext cx="2600037" cy="946888"/>
      </dsp:txXfrm>
    </dsp:sp>
    <dsp:sp modelId="{D9F2ACD0-9A9E-4910-8A8C-3227F76437BA}">
      <dsp:nvSpPr>
        <dsp:cNvPr id="0" name=""/>
        <dsp:cNvSpPr/>
      </dsp:nvSpPr>
      <dsp:spPr>
        <a:xfrm>
          <a:off x="2655846" y="1467403"/>
          <a:ext cx="2600037" cy="946888"/>
        </a:xfrm>
        <a:prstGeom prst="roundRect">
          <a:avLst/>
        </a:prstGeom>
        <a:solidFill>
          <a:schemeClr val="lt1"/>
        </a:solidFill>
        <a:ln w="25400" cap="flat" cmpd="sng" algn="ctr">
          <a:solidFill>
            <a:schemeClr val="accent6"/>
          </a:solidFill>
          <a:prstDash val="solid"/>
        </a:ln>
        <a:effectLst/>
        <a:scene3d>
          <a:camera prst="orthographicFront"/>
          <a:lightRig rig="flat" dir="t"/>
        </a:scene3d>
        <a:sp3d z="190500" extrusionH="12700"/>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rtl="0">
            <a:lnSpc>
              <a:spcPct val="90000"/>
            </a:lnSpc>
            <a:spcBef>
              <a:spcPct val="0"/>
            </a:spcBef>
            <a:spcAft>
              <a:spcPct val="35000"/>
            </a:spcAft>
          </a:pPr>
          <a:r>
            <a:rPr lang="es-SV" sz="1200" kern="1200" dirty="0" smtClean="0"/>
            <a:t>Tipo impositivo (porcentaje de renta que hay que pagar)  crece cuando aumenta la renta, es decir, que cuanto más se gana más se paga. </a:t>
          </a:r>
          <a:endParaRPr lang="es-SV" sz="1200" kern="1200" dirty="0"/>
        </a:p>
      </dsp:txBody>
      <dsp:txXfrm>
        <a:off x="2655846" y="1467403"/>
        <a:ext cx="2600037" cy="946888"/>
      </dsp:txXfrm>
    </dsp:sp>
    <dsp:sp modelId="{22BE3660-BD4C-42C8-A695-48BD71E67292}">
      <dsp:nvSpPr>
        <dsp:cNvPr id="0" name=""/>
        <dsp:cNvSpPr/>
      </dsp:nvSpPr>
      <dsp:spPr>
        <a:xfrm>
          <a:off x="2655846" y="2532653"/>
          <a:ext cx="2600037" cy="946888"/>
        </a:xfrm>
        <a:prstGeom prst="roundRect">
          <a:avLst/>
        </a:prstGeom>
        <a:solidFill>
          <a:schemeClr val="lt1"/>
        </a:solidFill>
        <a:ln w="25400" cap="flat" cmpd="sng" algn="ctr">
          <a:solidFill>
            <a:schemeClr val="accent6"/>
          </a:solidFill>
          <a:prstDash val="solid"/>
        </a:ln>
        <a:effectLst/>
        <a:scene3d>
          <a:camera prst="orthographicFront"/>
          <a:lightRig rig="flat" dir="t"/>
        </a:scene3d>
        <a:sp3d z="190500" extrusionH="12700"/>
      </dsp:spPr>
      <dsp:style>
        <a:lnRef idx="2">
          <a:schemeClr val="accent6"/>
        </a:lnRef>
        <a:fillRef idx="1">
          <a:schemeClr val="lt1"/>
        </a:fillRef>
        <a:effectRef idx="0">
          <a:schemeClr val="accent6"/>
        </a:effectRef>
        <a:fontRef idx="minor">
          <a:schemeClr val="dk1"/>
        </a:fontRef>
      </dsp:style>
      <dsp:txBody>
        <a:bodyPr spcFirstLastPara="0" vert="horz" wrap="square" lIns="45720" tIns="45720" rIns="45720" bIns="45720" numCol="1" spcCol="1270" anchor="ctr" anchorCtr="0">
          <a:noAutofit/>
        </a:bodyPr>
        <a:lstStyle/>
        <a:p>
          <a:pPr lvl="0" algn="ctr" defTabSz="533400" rtl="0">
            <a:lnSpc>
              <a:spcPct val="90000"/>
            </a:lnSpc>
            <a:spcBef>
              <a:spcPct val="0"/>
            </a:spcBef>
            <a:spcAft>
              <a:spcPct val="35000"/>
            </a:spcAft>
          </a:pPr>
          <a:r>
            <a:rPr lang="es-SV" sz="1200" kern="1200" dirty="0" smtClean="0"/>
            <a:t>Gastos deducibles: costos asociados con el puesto de trabajo (trajes especiales, cotizaciones a asociaciones laborales y a sindicatos, etcétera), seguro médico, intereses pagados por hipotecas. </a:t>
          </a:r>
          <a:endParaRPr lang="es-SV" sz="1200" kern="1200" dirty="0"/>
        </a:p>
      </dsp:txBody>
      <dsp:txXfrm>
        <a:off x="2655846" y="2532653"/>
        <a:ext cx="2600037" cy="946888"/>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1">
  <dgm:title val=""/>
  <dgm:desc val=""/>
  <dgm:catLst>
    <dgm:cat type="3D" pri="11100"/>
  </dgm:catLst>
  <dgm:scene3d>
    <a:camera prst="orthographicFront"/>
    <a:lightRig rig="threePt" dir="t"/>
  </dgm:scene3d>
  <dgm:styleLbl name="node0">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vennNode1">
    <dgm:scene3d>
      <a:camera prst="orthographicFront"/>
      <a:lightRig rig="flat" dir="t"/>
    </dgm:scene3d>
    <dgm:sp3d prstMaterial="plastic">
      <a:bevelT w="120900" h="88900"/>
      <a:bevelB w="88900" h="31750" prst="angle"/>
    </dgm:sp3d>
    <dgm:txPr/>
    <dgm:style>
      <a:lnRef idx="0">
        <a:scrgbClr r="0" g="0" b="0"/>
      </a:lnRef>
      <a:fillRef idx="1">
        <a:scrgbClr r="0" g="0" b="0"/>
      </a:fillRef>
      <a:effectRef idx="1">
        <a:scrgbClr r="0" g="0" b="0"/>
      </a:effectRef>
      <a:fontRef idx="minor">
        <a:schemeClr val="tx1"/>
      </a:fontRef>
    </dgm:style>
  </dgm:styleLbl>
  <dgm:styleLbl name="alignNode1">
    <dgm:scene3d>
      <a:camera prst="orthographicFront"/>
      <a:lightRig rig="flat" dir="t"/>
    </dgm:scene3d>
    <dgm:sp3d prstMaterial="plastic">
      <a:bevelT w="120900" h="88900"/>
      <a:bevelB w="88900" h="31750" prst="angle"/>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flat" dir="t"/>
    </dgm:scene3d>
    <dgm:sp3d prstMaterial="plastic">
      <a:bevelT w="120900" h="88900"/>
      <a:bevelB w="88900" h="31750" prst="angle"/>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node4">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fgImgPlace1">
    <dgm:scene3d>
      <a:camera prst="orthographicFront"/>
      <a:lightRig rig="flat" dir="t"/>
    </dgm:scene3d>
    <dgm:sp3d z="1270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alignImgPlace1">
    <dgm:scene3d>
      <a:camera prst="orthographicFront"/>
      <a:lightRig rig="flat" dir="t"/>
    </dgm:scene3d>
    <dgm:sp3d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bgImgPlace1">
    <dgm:scene3d>
      <a:camera prst="orthographicFront"/>
      <a:lightRig rig="flat" dir="t"/>
    </dgm:scene3d>
    <dgm:sp3d z="-190500" prstMaterial="plastic">
      <a:bevelT w="88900" h="88900"/>
      <a:bevelB w="88900" h="31750" prst="angle"/>
    </dgm:sp3d>
    <dgm:txPr/>
    <dgm:style>
      <a:lnRef idx="0">
        <a:scrgbClr r="0" g="0" b="0"/>
      </a:lnRef>
      <a:fillRef idx="3">
        <a:scrgbClr r="0" g="0" b="0"/>
      </a:fillRef>
      <a:effectRef idx="2">
        <a:scrgbClr r="0" g="0" b="0"/>
      </a:effectRef>
      <a:fontRef idx="minor"/>
    </dgm:style>
  </dgm:styleLbl>
  <dgm:styleLbl name="sibTrans2D1">
    <dgm:scene3d>
      <a:camera prst="orthographicFront"/>
      <a:lightRig rig="flat" dir="t"/>
    </dgm:scene3d>
    <dgm:sp3d z="-80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flat" dir="t"/>
    </dgm:scene3d>
    <dgm:sp3d z="1270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flat" dir="t"/>
    </dgm:scene3d>
    <dgm:sp3d z="-190500" prstMaterial="plastic">
      <a:bevelT w="50800" h="50800"/>
      <a:bevelB w="25400" h="25400" prst="angle"/>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flat"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1">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2">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asst3">
    <dgm:scene3d>
      <a:camera prst="orthographicFront"/>
      <a:lightRig rig="flat" dir="t"/>
    </dgm:scene3d>
    <dgm:sp3d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1">
    <dgm:scene3d>
      <a:camera prst="orthographicFront"/>
      <a:lightRig rig="flat" dir="t"/>
    </dgm:scene3d>
    <dgm:sp3d z="-10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2">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3">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flat" dir="t"/>
    </dgm:scene3d>
    <dgm:sp3d z="-60000" prstMaterial="plastic">
      <a:bevelT w="120900" h="88900"/>
      <a:bevelB w="88900" h="31750" prst="angle"/>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flat" dir="t"/>
    </dgm:scene3d>
    <dgm:sp3d prstMaterial="matte"/>
    <dgm:txPr/>
    <dgm:style>
      <a:lnRef idx="2">
        <a:scrgbClr r="0" g="0" b="0"/>
      </a:lnRef>
      <a:fillRef idx="0">
        <a:scrgbClr r="0" g="0" b="0"/>
      </a:fillRef>
      <a:effectRef idx="0">
        <a:scrgbClr r="0" g="0" b="0"/>
      </a:effectRef>
      <a:fontRef idx="minor"/>
    </dgm:style>
  </dgm:styleLbl>
  <dgm:styleLbl name="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con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tr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F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solidAlignAcc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solidBgAcc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flat" dir="t"/>
    </dgm:scene3d>
    <dgm:sp3d extrusionH="12700" prstMaterial="plastic">
      <a:bevelT w="50800" h="50800"/>
    </dgm:sp3d>
    <dgm:txPr/>
    <dgm:style>
      <a:lnRef idx="1">
        <a:scrgbClr r="0" g="0" b="0"/>
      </a:lnRef>
      <a:fillRef idx="1">
        <a:scrgbClr r="0" g="0" b="0"/>
      </a:fillRef>
      <a:effectRef idx="2">
        <a:scrgbClr r="0" g="0" b="0"/>
      </a:effectRef>
      <a:fontRef idx="minor"/>
    </dgm:style>
  </dgm:styleLbl>
  <dgm:styleLbl name="bgAccFollowNode1">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0">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2">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3">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fgAcc4">
    <dgm:scene3d>
      <a:camera prst="orthographicFront"/>
      <a:lightRig rig="flat" dir="t"/>
    </dgm:scene3d>
    <dgm:sp3d z="190500" extrusionH="12700" prstMaterial="plastic">
      <a:bevelT w="50800" h="50800"/>
    </dgm:sp3d>
    <dgm:txPr/>
    <dgm:style>
      <a:lnRef idx="1">
        <a:scrgbClr r="0" g="0" b="0"/>
      </a:lnRef>
      <a:fillRef idx="1">
        <a:scrgbClr r="0" g="0" b="0"/>
      </a:fillRef>
      <a:effectRef idx="2">
        <a:scrgbClr r="0" g="0" b="0"/>
      </a:effectRef>
      <a:fontRef idx="minor"/>
    </dgm:style>
  </dgm:styleLbl>
  <dgm:styleLbl name="bgShp">
    <dgm:scene3d>
      <a:camera prst="orthographicFront"/>
      <a:lightRig rig="flat" dir="t"/>
    </dgm:scene3d>
    <dgm:sp3d z="-190500" extrusionH="12700" prstMaterial="plastic">
      <a:bevelT w="50800" h="50800"/>
    </dgm:sp3d>
    <dgm:txPr/>
    <dgm:style>
      <a:lnRef idx="0">
        <a:scrgbClr r="0" g="0" b="0"/>
      </a:lnRef>
      <a:fillRef idx="3">
        <a:scrgbClr r="0" g="0" b="0"/>
      </a:fillRef>
      <a:effectRef idx="0">
        <a:scrgbClr r="0" g="0" b="0"/>
      </a:effectRef>
      <a:fontRef idx="minor"/>
    </dgm:style>
  </dgm:styleLbl>
  <dgm:styleLbl name="dkBgShp">
    <dgm:scene3d>
      <a:camera prst="orthographicFront"/>
      <a:lightRig rig="flat" dir="t"/>
    </dgm:scene3d>
    <dgm:sp3d z="-190500" extrusionH="12700" prstMaterial="plastic">
      <a:bevelT w="50800" h="50800"/>
    </dgm:sp3d>
    <dgm:txPr/>
    <dgm:style>
      <a:lnRef idx="0">
        <a:scrgbClr r="0" g="0" b="0"/>
      </a:lnRef>
      <a:fillRef idx="2">
        <a:scrgbClr r="0" g="0" b="0"/>
      </a:fillRef>
      <a:effectRef idx="0">
        <a:scrgbClr r="0" g="0" b="0"/>
      </a:effectRef>
      <a:fontRef idx="minor"/>
    </dgm:style>
  </dgm:styleLbl>
  <dgm:styleLbl name="trBgShp">
    <dgm:scene3d>
      <a:camera prst="orthographicFront"/>
      <a:lightRig rig="flat" dir="t"/>
    </dgm:scene3d>
    <dgm:sp3d z="-190500" extrusionH="12700" prstMaterial="matte"/>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z="190500" prstMaterial="plastic">
      <a:bevelT w="120900" h="88900"/>
      <a:bevelB w="88900" h="31750" prst="angle"/>
    </dgm:sp3d>
    <dgm:txPr/>
    <dgm:style>
      <a:lnRef idx="0">
        <a:scrgbClr r="0" g="0" b="0"/>
      </a:lnRef>
      <a:fillRef idx="1">
        <a:scrgbClr r="0" g="0" b="0"/>
      </a:fillRef>
      <a:effectRef idx="3">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782</Words>
  <Characters>4303</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dc:creator>
  <cp:lastModifiedBy>Karina</cp:lastModifiedBy>
  <cp:revision>2</cp:revision>
  <dcterms:created xsi:type="dcterms:W3CDTF">2013-10-11T19:25:00Z</dcterms:created>
  <dcterms:modified xsi:type="dcterms:W3CDTF">2013-10-11T19:53:00Z</dcterms:modified>
</cp:coreProperties>
</file>