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5AD" w:rsidRPr="00DF7C76" w:rsidRDefault="006C65AD" w:rsidP="006C65AD">
      <w:pPr>
        <w:shd w:val="clear" w:color="auto" w:fill="FFFFFF"/>
        <w:spacing w:after="0" w:line="240" w:lineRule="auto"/>
        <w:ind w:left="720" w:hanging="720"/>
        <w:jc w:val="center"/>
        <w:rPr>
          <w:rFonts w:ascii="Arial" w:eastAsia="Times New Roman" w:hAnsi="Arial" w:cs="Arial"/>
          <w:b/>
          <w:bCs/>
          <w:color w:val="000000"/>
        </w:rPr>
      </w:pPr>
      <w:r>
        <w:rPr>
          <w:rFonts w:ascii="Arial" w:eastAsia="Times New Roman" w:hAnsi="Arial" w:cs="Arial"/>
          <w:b/>
          <w:bCs/>
          <w:color w:val="000000"/>
        </w:rPr>
        <w:t>4</w:t>
      </w:r>
      <w:r w:rsidRPr="00DF7C76">
        <w:rPr>
          <w:rFonts w:ascii="Arial" w:eastAsia="Times New Roman" w:hAnsi="Arial" w:cs="Arial"/>
          <w:b/>
          <w:bCs/>
          <w:color w:val="000000"/>
        </w:rPr>
        <w:t>to Control de Lectura</w:t>
      </w:r>
    </w:p>
    <w:p w:rsidR="006C65AD" w:rsidRPr="00DF7C76" w:rsidRDefault="006C65AD" w:rsidP="006C65AD">
      <w:pPr>
        <w:shd w:val="clear" w:color="auto" w:fill="FFFFFF"/>
        <w:spacing w:after="0" w:line="240" w:lineRule="auto"/>
        <w:ind w:left="720" w:hanging="720"/>
        <w:jc w:val="center"/>
        <w:rPr>
          <w:rFonts w:ascii="Arial" w:eastAsia="Times New Roman" w:hAnsi="Arial" w:cs="Arial"/>
          <w:bCs/>
          <w:color w:val="000000"/>
        </w:rPr>
      </w:pPr>
      <w:r w:rsidRPr="00DF7C76">
        <w:rPr>
          <w:rFonts w:ascii="Arial" w:eastAsia="Times New Roman" w:hAnsi="Arial" w:cs="Arial"/>
          <w:bCs/>
          <w:color w:val="000000"/>
        </w:rPr>
        <w:t xml:space="preserve">Jacqueline Judith Escobar Doradea </w:t>
      </w:r>
      <w:r w:rsidRPr="00DF7C76">
        <w:rPr>
          <w:rFonts w:ascii="Arial" w:eastAsia="Times New Roman" w:hAnsi="Arial" w:cs="Arial"/>
          <w:bCs/>
          <w:color w:val="000000"/>
        </w:rPr>
        <w:tab/>
        <w:t>JDoradeaGt04</w:t>
      </w:r>
    </w:p>
    <w:p w:rsidR="006C65AD" w:rsidRPr="00DF7C76" w:rsidRDefault="006C65AD" w:rsidP="006C65AD">
      <w:pPr>
        <w:shd w:val="clear" w:color="auto" w:fill="FFFFFF"/>
        <w:spacing w:after="0" w:line="240" w:lineRule="auto"/>
        <w:ind w:left="720" w:hanging="720"/>
        <w:jc w:val="center"/>
        <w:rPr>
          <w:rFonts w:ascii="Arial" w:eastAsia="Times New Roman" w:hAnsi="Arial" w:cs="Arial"/>
          <w:b/>
          <w:bCs/>
          <w:color w:val="000000"/>
        </w:rPr>
      </w:pPr>
    </w:p>
    <w:p w:rsidR="006C65AD" w:rsidRPr="00DF7C76" w:rsidRDefault="006C65AD" w:rsidP="006C65AD">
      <w:pPr>
        <w:shd w:val="clear" w:color="auto" w:fill="FFFFFF"/>
        <w:spacing w:after="0" w:line="240" w:lineRule="auto"/>
        <w:ind w:left="720" w:hanging="720"/>
        <w:jc w:val="center"/>
        <w:rPr>
          <w:rFonts w:ascii="Arial" w:eastAsia="Times New Roman" w:hAnsi="Arial" w:cs="Arial"/>
          <w:b/>
          <w:bCs/>
          <w:color w:val="000000"/>
        </w:rPr>
      </w:pPr>
      <w:r>
        <w:rPr>
          <w:rFonts w:ascii="Arial" w:eastAsia="Times New Roman" w:hAnsi="Arial" w:cs="Arial"/>
          <w:b/>
          <w:bCs/>
          <w:noProof/>
          <w:color w:val="000000"/>
          <w:lang w:val="en-US"/>
        </w:rPr>
        <w:pict>
          <v:rect id="_x0000_s1026" style="position:absolute;left:0;text-align:left;margin-left:162.65pt;margin-top:.35pt;width:164.1pt;height:27.85pt;z-index:251660288" fillcolor="#c0504d [3205]" strokecolor="#f2f2f2 [3041]" strokeweight="3pt">
            <v:shadow on="t" type="perspective" color="#622423 [1605]" opacity=".5" offset="1pt" offset2="-1pt"/>
            <v:textbox>
              <w:txbxContent>
                <w:p w:rsidR="006C65AD" w:rsidRPr="00255FBF" w:rsidRDefault="006C65AD" w:rsidP="006C65AD">
                  <w:pPr>
                    <w:shd w:val="clear" w:color="auto" w:fill="FFFFFF"/>
                    <w:spacing w:after="0" w:line="240" w:lineRule="auto"/>
                    <w:jc w:val="center"/>
                    <w:rPr>
                      <w:rFonts w:ascii="Arial" w:eastAsia="Times New Roman" w:hAnsi="Arial" w:cs="Arial"/>
                      <w:b/>
                      <w:bCs/>
                      <w:color w:val="000000"/>
                      <w:sz w:val="24"/>
                      <w:szCs w:val="24"/>
                    </w:rPr>
                  </w:pPr>
                  <w:r>
                    <w:rPr>
                      <w:rFonts w:ascii="Arial" w:eastAsia="Times New Roman" w:hAnsi="Arial" w:cs="Arial"/>
                      <w:b/>
                      <w:bCs/>
                      <w:color w:val="000000"/>
                      <w:sz w:val="24"/>
                      <w:szCs w:val="24"/>
                    </w:rPr>
                    <w:t>Código Tributario</w:t>
                  </w:r>
                </w:p>
              </w:txbxContent>
            </v:textbox>
          </v:rect>
        </w:pict>
      </w:r>
    </w:p>
    <w:p w:rsidR="006C65AD" w:rsidRPr="00DF7C76" w:rsidRDefault="006C65AD" w:rsidP="006C65AD">
      <w:pPr>
        <w:shd w:val="clear" w:color="auto" w:fill="FFFFFF"/>
        <w:spacing w:after="0" w:line="240" w:lineRule="auto"/>
        <w:ind w:left="720" w:hanging="720"/>
        <w:jc w:val="center"/>
        <w:rPr>
          <w:rFonts w:ascii="Arial" w:eastAsia="Times New Roman" w:hAnsi="Arial" w:cs="Arial"/>
          <w:b/>
          <w:bCs/>
          <w:color w:val="000000"/>
        </w:rPr>
      </w:pPr>
    </w:p>
    <w:p w:rsidR="00482497" w:rsidRDefault="00482497"/>
    <w:p w:rsidR="006C65AD" w:rsidRDefault="006C65AD" w:rsidP="006C65AD">
      <w:pPr>
        <w:jc w:val="both"/>
      </w:pPr>
      <w:r>
        <w:t xml:space="preserve">Este código establece los parámetros para la aplicación de los impuestos estipulados por la administración tributaria, las obligaciones tanto formales como sustantivas que los sujetos pasivos deben cumplir, además de las respectivas sanciones si es que estos sujetos no llegaren a cumplir con dicha disposición. </w:t>
      </w:r>
    </w:p>
    <w:p w:rsidR="006C65AD" w:rsidRPr="00510086" w:rsidRDefault="006C65AD" w:rsidP="006C65AD">
      <w:pPr>
        <w:jc w:val="both"/>
        <w:rPr>
          <w:b/>
        </w:rPr>
      </w:pPr>
      <w:r w:rsidRPr="00510086">
        <w:rPr>
          <w:b/>
        </w:rPr>
        <w:t xml:space="preserve"> Entre las diferentes </w:t>
      </w:r>
      <w:r w:rsidR="00510086" w:rsidRPr="00510086">
        <w:rPr>
          <w:b/>
        </w:rPr>
        <w:t>obligaciones formales</w:t>
      </w:r>
      <w:r w:rsidRPr="00510086">
        <w:rPr>
          <w:b/>
        </w:rPr>
        <w:t xml:space="preserve"> que se deben cumplir están:</w:t>
      </w:r>
    </w:p>
    <w:tbl>
      <w:tblPr>
        <w:tblStyle w:val="LightShading-Accent1"/>
        <w:tblW w:w="5958" w:type="dxa"/>
        <w:tblLook w:val="04A0"/>
      </w:tblPr>
      <w:tblGrid>
        <w:gridCol w:w="5958"/>
      </w:tblGrid>
      <w:tr w:rsidR="006C65AD" w:rsidRPr="006C65AD" w:rsidTr="00510086">
        <w:trPr>
          <w:cnfStyle w:val="100000000000"/>
          <w:trHeight w:val="403"/>
        </w:trPr>
        <w:tc>
          <w:tcPr>
            <w:cnfStyle w:val="001000000000"/>
            <w:tcW w:w="5958" w:type="dxa"/>
            <w:noWrap/>
            <w:hideMark/>
          </w:tcPr>
          <w:p w:rsidR="006C65AD" w:rsidRPr="006C65AD" w:rsidRDefault="006C65AD" w:rsidP="006C65AD">
            <w:pPr>
              <w:rPr>
                <w:rFonts w:ascii="Arial Narrow" w:eastAsia="Times New Roman" w:hAnsi="Arial Narrow" w:cs="Times New Roman"/>
                <w:b w:val="0"/>
                <w:color w:val="000000"/>
                <w:lang w:val="en-US"/>
              </w:rPr>
            </w:pPr>
            <w:proofErr w:type="spellStart"/>
            <w:r w:rsidRPr="006C65AD">
              <w:rPr>
                <w:rFonts w:ascii="Arial Narrow" w:eastAsia="Times New Roman" w:hAnsi="Arial Narrow" w:cs="Times New Roman"/>
                <w:b w:val="0"/>
                <w:color w:val="000000"/>
                <w:lang w:val="en-US"/>
              </w:rPr>
              <w:t>Llevar</w:t>
            </w:r>
            <w:proofErr w:type="spellEnd"/>
            <w:r w:rsidRPr="006C65AD">
              <w:rPr>
                <w:rFonts w:ascii="Arial Narrow" w:eastAsia="Times New Roman" w:hAnsi="Arial Narrow" w:cs="Times New Roman"/>
                <w:b w:val="0"/>
                <w:color w:val="000000"/>
                <w:lang w:val="en-US"/>
              </w:rPr>
              <w:t xml:space="preserve"> </w:t>
            </w:r>
            <w:proofErr w:type="spellStart"/>
            <w:r w:rsidRPr="006C65AD">
              <w:rPr>
                <w:rFonts w:ascii="Arial Narrow" w:eastAsia="Times New Roman" w:hAnsi="Arial Narrow" w:cs="Times New Roman"/>
                <w:b w:val="0"/>
                <w:color w:val="000000"/>
                <w:lang w:val="en-US"/>
              </w:rPr>
              <w:t>contabilidad</w:t>
            </w:r>
            <w:proofErr w:type="spellEnd"/>
            <w:r w:rsidRPr="006C65AD">
              <w:rPr>
                <w:rFonts w:ascii="Arial Narrow" w:eastAsia="Times New Roman" w:hAnsi="Arial Narrow" w:cs="Times New Roman"/>
                <w:b w:val="0"/>
                <w:color w:val="000000"/>
                <w:lang w:val="en-US"/>
              </w:rPr>
              <w:t xml:space="preserve"> formal</w:t>
            </w:r>
          </w:p>
        </w:tc>
      </w:tr>
      <w:tr w:rsidR="006C65AD" w:rsidRPr="006C65AD" w:rsidTr="00510086">
        <w:trPr>
          <w:cnfStyle w:val="000000100000"/>
          <w:trHeight w:val="376"/>
        </w:trPr>
        <w:tc>
          <w:tcPr>
            <w:cnfStyle w:val="001000000000"/>
            <w:tcW w:w="5958" w:type="dxa"/>
            <w:hideMark/>
          </w:tcPr>
          <w:p w:rsidR="006C65AD" w:rsidRPr="006C65AD" w:rsidRDefault="006C65AD" w:rsidP="006C65AD">
            <w:pPr>
              <w:rPr>
                <w:rFonts w:ascii="Arial Narrow" w:eastAsia="Times New Roman" w:hAnsi="Arial Narrow" w:cs="Times New Roman"/>
                <w:b w:val="0"/>
                <w:color w:val="000000"/>
              </w:rPr>
            </w:pPr>
            <w:r w:rsidRPr="006C65AD">
              <w:rPr>
                <w:rFonts w:ascii="Arial Narrow" w:eastAsia="Times New Roman" w:hAnsi="Arial Narrow" w:cs="Times New Roman"/>
                <w:b w:val="0"/>
                <w:color w:val="000000"/>
              </w:rPr>
              <w:t>Inscribirse en el Registro de Contribuyentes</w:t>
            </w:r>
          </w:p>
        </w:tc>
      </w:tr>
      <w:tr w:rsidR="006C65AD" w:rsidRPr="006C65AD" w:rsidTr="00510086">
        <w:trPr>
          <w:trHeight w:val="711"/>
        </w:trPr>
        <w:tc>
          <w:tcPr>
            <w:cnfStyle w:val="001000000000"/>
            <w:tcW w:w="5958" w:type="dxa"/>
            <w:hideMark/>
          </w:tcPr>
          <w:p w:rsidR="006C65AD" w:rsidRPr="006C65AD" w:rsidRDefault="006C65AD" w:rsidP="006C65AD">
            <w:pPr>
              <w:rPr>
                <w:rFonts w:ascii="Arial Narrow" w:eastAsia="Times New Roman" w:hAnsi="Arial Narrow" w:cs="Times New Roman"/>
                <w:b w:val="0"/>
                <w:color w:val="000000"/>
              </w:rPr>
            </w:pPr>
            <w:r w:rsidRPr="006C65AD">
              <w:rPr>
                <w:rFonts w:ascii="Arial Narrow" w:eastAsia="Times New Roman" w:hAnsi="Arial Narrow" w:cs="Times New Roman"/>
                <w:b w:val="0"/>
                <w:color w:val="000000"/>
              </w:rPr>
              <w:t xml:space="preserve">Informar cambios que ocurran en los datos básicos proporcionados en el registro  </w:t>
            </w:r>
          </w:p>
        </w:tc>
      </w:tr>
      <w:tr w:rsidR="006C65AD" w:rsidRPr="006C65AD" w:rsidTr="00510086">
        <w:trPr>
          <w:cnfStyle w:val="000000100000"/>
          <w:trHeight w:val="459"/>
        </w:trPr>
        <w:tc>
          <w:tcPr>
            <w:cnfStyle w:val="001000000000"/>
            <w:tcW w:w="5958" w:type="dxa"/>
            <w:hideMark/>
          </w:tcPr>
          <w:p w:rsidR="006C65AD" w:rsidRPr="006C65AD" w:rsidRDefault="006C65AD" w:rsidP="006C65AD">
            <w:pPr>
              <w:rPr>
                <w:rFonts w:ascii="Arial Narrow" w:eastAsia="Times New Roman" w:hAnsi="Arial Narrow" w:cs="Times New Roman"/>
                <w:b w:val="0"/>
                <w:color w:val="000000"/>
              </w:rPr>
            </w:pPr>
            <w:r w:rsidRPr="006C65AD">
              <w:rPr>
                <w:rFonts w:ascii="Arial Narrow" w:eastAsia="Times New Roman" w:hAnsi="Arial Narrow" w:cs="Times New Roman"/>
                <w:b w:val="0"/>
                <w:color w:val="000000"/>
              </w:rPr>
              <w:t>Actualización de Dirección para recibir notificaciones</w:t>
            </w:r>
          </w:p>
        </w:tc>
      </w:tr>
      <w:tr w:rsidR="006C65AD" w:rsidRPr="006C65AD" w:rsidTr="00510086">
        <w:trPr>
          <w:trHeight w:val="459"/>
        </w:trPr>
        <w:tc>
          <w:tcPr>
            <w:cnfStyle w:val="001000000000"/>
            <w:tcW w:w="5958" w:type="dxa"/>
            <w:hideMark/>
          </w:tcPr>
          <w:p w:rsidR="006C65AD" w:rsidRPr="006C65AD" w:rsidRDefault="006C65AD" w:rsidP="006C65AD">
            <w:pPr>
              <w:rPr>
                <w:rFonts w:ascii="Arial Narrow" w:eastAsia="Times New Roman" w:hAnsi="Arial Narrow" w:cs="Times New Roman"/>
                <w:b w:val="0"/>
                <w:color w:val="000000"/>
              </w:rPr>
            </w:pPr>
            <w:r w:rsidRPr="006C65AD">
              <w:rPr>
                <w:rFonts w:ascii="Arial Narrow" w:eastAsia="Times New Roman" w:hAnsi="Arial Narrow" w:cs="Times New Roman"/>
                <w:b w:val="0"/>
                <w:color w:val="000000"/>
              </w:rPr>
              <w:t>Obligación de Informar extravío de documentos y registros</w:t>
            </w:r>
          </w:p>
        </w:tc>
      </w:tr>
      <w:tr w:rsidR="006C65AD" w:rsidRPr="006C65AD" w:rsidTr="00510086">
        <w:trPr>
          <w:cnfStyle w:val="000000100000"/>
          <w:trHeight w:val="432"/>
        </w:trPr>
        <w:tc>
          <w:tcPr>
            <w:cnfStyle w:val="001000000000"/>
            <w:tcW w:w="5958" w:type="dxa"/>
            <w:hideMark/>
          </w:tcPr>
          <w:p w:rsidR="006C65AD" w:rsidRPr="006C65AD" w:rsidRDefault="006C65AD" w:rsidP="006C65AD">
            <w:pPr>
              <w:rPr>
                <w:rFonts w:ascii="Arial Narrow" w:eastAsia="Times New Roman" w:hAnsi="Arial Narrow" w:cs="Times New Roman"/>
                <w:b w:val="0"/>
                <w:color w:val="000000"/>
              </w:rPr>
            </w:pPr>
            <w:r w:rsidRPr="006C65AD">
              <w:rPr>
                <w:rFonts w:ascii="Arial Narrow" w:eastAsia="Times New Roman" w:hAnsi="Arial Narrow" w:cs="Times New Roman"/>
                <w:b w:val="0"/>
                <w:color w:val="000000"/>
              </w:rPr>
              <w:t>Obligación de Informar y permitir el control</w:t>
            </w:r>
          </w:p>
        </w:tc>
      </w:tr>
      <w:tr w:rsidR="006C65AD" w:rsidRPr="006C65AD" w:rsidTr="00510086">
        <w:trPr>
          <w:trHeight w:val="360"/>
        </w:trPr>
        <w:tc>
          <w:tcPr>
            <w:cnfStyle w:val="001000000000"/>
            <w:tcW w:w="5958" w:type="dxa"/>
            <w:hideMark/>
          </w:tcPr>
          <w:p w:rsidR="006C65AD" w:rsidRPr="006C65AD" w:rsidRDefault="006C65AD" w:rsidP="006C65AD">
            <w:pPr>
              <w:rPr>
                <w:rFonts w:ascii="Arial Narrow" w:eastAsia="Times New Roman" w:hAnsi="Arial Narrow" w:cs="Times New Roman"/>
                <w:b w:val="0"/>
                <w:color w:val="000000"/>
              </w:rPr>
            </w:pPr>
            <w:r w:rsidRPr="006C65AD">
              <w:rPr>
                <w:rFonts w:ascii="Arial Narrow" w:eastAsia="Times New Roman" w:hAnsi="Arial Narrow" w:cs="Times New Roman"/>
                <w:b w:val="0"/>
                <w:color w:val="000000"/>
              </w:rPr>
              <w:t>Obligación de Exigir Estados Financieros</w:t>
            </w:r>
          </w:p>
        </w:tc>
      </w:tr>
      <w:tr w:rsidR="00510086" w:rsidRPr="00510086" w:rsidTr="00510086">
        <w:trPr>
          <w:cnfStyle w:val="000000100000"/>
          <w:trHeight w:val="432"/>
        </w:trPr>
        <w:tc>
          <w:tcPr>
            <w:cnfStyle w:val="001000000000"/>
            <w:tcW w:w="5958" w:type="dxa"/>
            <w:hideMark/>
          </w:tcPr>
          <w:p w:rsidR="00510086" w:rsidRPr="006C65AD" w:rsidRDefault="00510086" w:rsidP="009E4314">
            <w:pPr>
              <w:rPr>
                <w:rFonts w:ascii="Arial Narrow" w:eastAsia="Times New Roman" w:hAnsi="Arial Narrow" w:cs="Times New Roman"/>
                <w:b w:val="0"/>
                <w:color w:val="000000"/>
              </w:rPr>
            </w:pPr>
            <w:r w:rsidRPr="00510086">
              <w:rPr>
                <w:rFonts w:ascii="Arial Narrow" w:eastAsia="Times New Roman" w:hAnsi="Arial Narrow" w:cs="Times New Roman"/>
                <w:b w:val="0"/>
                <w:color w:val="000000"/>
              </w:rPr>
              <w:t xml:space="preserve">Obligación de Presentar </w:t>
            </w:r>
            <w:proofErr w:type="spellStart"/>
            <w:r w:rsidRPr="00510086">
              <w:rPr>
                <w:rFonts w:ascii="Arial Narrow" w:eastAsia="Times New Roman" w:hAnsi="Arial Narrow" w:cs="Times New Roman"/>
                <w:b w:val="0"/>
                <w:color w:val="000000"/>
              </w:rPr>
              <w:t>Declaciones</w:t>
            </w:r>
            <w:proofErr w:type="spellEnd"/>
            <w:r w:rsidRPr="00510086">
              <w:rPr>
                <w:rFonts w:ascii="Arial Narrow" w:eastAsia="Times New Roman" w:hAnsi="Arial Narrow" w:cs="Times New Roman"/>
                <w:b w:val="0"/>
                <w:color w:val="000000"/>
              </w:rPr>
              <w:t xml:space="preserve"> e informes</w:t>
            </w:r>
          </w:p>
        </w:tc>
      </w:tr>
      <w:tr w:rsidR="00510086" w:rsidRPr="00510086" w:rsidTr="00510086">
        <w:trPr>
          <w:trHeight w:val="360"/>
        </w:trPr>
        <w:tc>
          <w:tcPr>
            <w:cnfStyle w:val="001000000000"/>
            <w:tcW w:w="5958" w:type="dxa"/>
            <w:hideMark/>
          </w:tcPr>
          <w:p w:rsidR="00510086" w:rsidRPr="006C65AD" w:rsidRDefault="00510086" w:rsidP="009E4314">
            <w:pPr>
              <w:rPr>
                <w:rFonts w:ascii="Arial Narrow" w:eastAsia="Times New Roman" w:hAnsi="Arial Narrow" w:cs="Times New Roman"/>
                <w:b w:val="0"/>
                <w:color w:val="000000"/>
              </w:rPr>
            </w:pPr>
            <w:r w:rsidRPr="00510086">
              <w:rPr>
                <w:rFonts w:ascii="Arial Narrow" w:eastAsia="Times New Roman" w:hAnsi="Arial Narrow" w:cs="Times New Roman"/>
                <w:b w:val="0"/>
                <w:color w:val="000000"/>
              </w:rPr>
              <w:t>Obligación de emisión de documentos</w:t>
            </w:r>
          </w:p>
        </w:tc>
      </w:tr>
    </w:tbl>
    <w:p w:rsidR="00510086" w:rsidRDefault="00510086" w:rsidP="00510086">
      <w:pPr>
        <w:jc w:val="both"/>
      </w:pPr>
    </w:p>
    <w:p w:rsidR="00510086" w:rsidRPr="00510086" w:rsidRDefault="00510086" w:rsidP="00510086">
      <w:pPr>
        <w:jc w:val="both"/>
        <w:rPr>
          <w:b/>
        </w:rPr>
      </w:pPr>
      <w:r w:rsidRPr="00510086">
        <w:rPr>
          <w:b/>
        </w:rPr>
        <w:t>Entre las diferentes obligaciones formales donde deben pagar el correspondiente impuesto están:</w:t>
      </w:r>
    </w:p>
    <w:tbl>
      <w:tblPr>
        <w:tblStyle w:val="LightShading-Accent1"/>
        <w:tblW w:w="6444" w:type="dxa"/>
        <w:tblLook w:val="04A0"/>
      </w:tblPr>
      <w:tblGrid>
        <w:gridCol w:w="6444"/>
      </w:tblGrid>
      <w:tr w:rsidR="00510086" w:rsidRPr="00510086" w:rsidTr="00510086">
        <w:trPr>
          <w:cnfStyle w:val="100000000000"/>
          <w:trHeight w:val="367"/>
        </w:trPr>
        <w:tc>
          <w:tcPr>
            <w:cnfStyle w:val="001000000000"/>
            <w:tcW w:w="6444" w:type="dxa"/>
            <w:hideMark/>
          </w:tcPr>
          <w:p w:rsidR="00510086" w:rsidRPr="00510086" w:rsidRDefault="00510086" w:rsidP="00510086">
            <w:pPr>
              <w:rPr>
                <w:rFonts w:ascii="Arial Narrow" w:eastAsia="Times New Roman" w:hAnsi="Arial Narrow" w:cs="Times New Roman"/>
                <w:b w:val="0"/>
                <w:color w:val="000000"/>
              </w:rPr>
            </w:pPr>
            <w:r w:rsidRPr="00510086">
              <w:rPr>
                <w:rFonts w:ascii="Arial Narrow" w:eastAsia="Times New Roman" w:hAnsi="Arial Narrow" w:cs="Times New Roman"/>
                <w:b w:val="0"/>
                <w:color w:val="000000"/>
              </w:rPr>
              <w:t>Declaración Anual del Impuesto sobre la renta</w:t>
            </w:r>
          </w:p>
        </w:tc>
      </w:tr>
      <w:tr w:rsidR="00510086" w:rsidRPr="00510086" w:rsidTr="00510086">
        <w:trPr>
          <w:cnfStyle w:val="000000100000"/>
          <w:trHeight w:val="340"/>
        </w:trPr>
        <w:tc>
          <w:tcPr>
            <w:cnfStyle w:val="001000000000"/>
            <w:tcW w:w="6444" w:type="dxa"/>
            <w:hideMark/>
          </w:tcPr>
          <w:p w:rsidR="00510086" w:rsidRPr="00510086" w:rsidRDefault="00510086" w:rsidP="00510086">
            <w:pPr>
              <w:rPr>
                <w:rFonts w:ascii="Arial Narrow" w:eastAsia="Times New Roman" w:hAnsi="Arial Narrow" w:cs="Times New Roman"/>
                <w:b w:val="0"/>
                <w:color w:val="000000"/>
              </w:rPr>
            </w:pPr>
            <w:r w:rsidRPr="00510086">
              <w:rPr>
                <w:rFonts w:ascii="Arial Narrow" w:eastAsia="Times New Roman" w:hAnsi="Arial Narrow" w:cs="Times New Roman"/>
                <w:b w:val="0"/>
                <w:color w:val="000000"/>
              </w:rPr>
              <w:t>Retención por servicios de carácter permanente</w:t>
            </w:r>
          </w:p>
        </w:tc>
      </w:tr>
      <w:tr w:rsidR="00510086" w:rsidRPr="00510086" w:rsidTr="00510086">
        <w:trPr>
          <w:trHeight w:val="369"/>
        </w:trPr>
        <w:tc>
          <w:tcPr>
            <w:cnfStyle w:val="001000000000"/>
            <w:tcW w:w="6444" w:type="dxa"/>
            <w:hideMark/>
          </w:tcPr>
          <w:p w:rsidR="00510086" w:rsidRPr="00510086" w:rsidRDefault="00510086" w:rsidP="00510086">
            <w:pPr>
              <w:rPr>
                <w:rFonts w:ascii="Arial Narrow" w:eastAsia="Times New Roman" w:hAnsi="Arial Narrow" w:cs="Times New Roman"/>
                <w:b w:val="0"/>
                <w:color w:val="000000"/>
              </w:rPr>
            </w:pPr>
            <w:r w:rsidRPr="00510086">
              <w:rPr>
                <w:rFonts w:ascii="Arial Narrow" w:eastAsia="Times New Roman" w:hAnsi="Arial Narrow" w:cs="Times New Roman"/>
                <w:b w:val="0"/>
                <w:color w:val="000000"/>
              </w:rPr>
              <w:t>Retención por Prestación de Servicios</w:t>
            </w:r>
          </w:p>
        </w:tc>
      </w:tr>
      <w:tr w:rsidR="00510086" w:rsidRPr="00510086" w:rsidTr="00510086">
        <w:trPr>
          <w:cnfStyle w:val="000000100000"/>
          <w:trHeight w:val="360"/>
        </w:trPr>
        <w:tc>
          <w:tcPr>
            <w:cnfStyle w:val="001000000000"/>
            <w:tcW w:w="6444" w:type="dxa"/>
            <w:hideMark/>
          </w:tcPr>
          <w:p w:rsidR="00510086" w:rsidRPr="00510086" w:rsidRDefault="00510086" w:rsidP="00510086">
            <w:pPr>
              <w:rPr>
                <w:rFonts w:ascii="Arial Narrow" w:eastAsia="Times New Roman" w:hAnsi="Arial Narrow" w:cs="Times New Roman"/>
                <w:b w:val="0"/>
                <w:color w:val="000000"/>
              </w:rPr>
            </w:pPr>
            <w:r w:rsidRPr="00510086">
              <w:rPr>
                <w:rFonts w:ascii="Arial Narrow" w:eastAsia="Times New Roman" w:hAnsi="Arial Narrow" w:cs="Times New Roman"/>
                <w:b w:val="0"/>
                <w:color w:val="000000"/>
              </w:rPr>
              <w:t>Retención a sujetos no domiciliados</w:t>
            </w:r>
          </w:p>
        </w:tc>
      </w:tr>
      <w:tr w:rsidR="00510086" w:rsidRPr="00510086" w:rsidTr="00510086">
        <w:trPr>
          <w:trHeight w:val="360"/>
        </w:trPr>
        <w:tc>
          <w:tcPr>
            <w:cnfStyle w:val="001000000000"/>
            <w:tcW w:w="6444" w:type="dxa"/>
            <w:noWrap/>
            <w:hideMark/>
          </w:tcPr>
          <w:p w:rsidR="00510086" w:rsidRPr="00510086" w:rsidRDefault="00510086" w:rsidP="00510086">
            <w:pPr>
              <w:jc w:val="both"/>
              <w:rPr>
                <w:rFonts w:ascii="Arial Narrow" w:eastAsia="Times New Roman" w:hAnsi="Arial Narrow" w:cs="Times New Roman"/>
                <w:b w:val="0"/>
                <w:color w:val="000000"/>
              </w:rPr>
            </w:pPr>
            <w:r w:rsidRPr="00510086">
              <w:rPr>
                <w:rFonts w:ascii="Arial Narrow" w:eastAsia="Times New Roman" w:hAnsi="Arial Narrow" w:cs="Times New Roman"/>
                <w:b w:val="0"/>
                <w:color w:val="000000"/>
              </w:rPr>
              <w:t>Anticipo a cuenta del Impuesto sobre la Renta</w:t>
            </w:r>
          </w:p>
        </w:tc>
      </w:tr>
      <w:tr w:rsidR="00510086" w:rsidRPr="00510086" w:rsidTr="00510086">
        <w:trPr>
          <w:cnfStyle w:val="000000100000"/>
          <w:trHeight w:val="360"/>
        </w:trPr>
        <w:tc>
          <w:tcPr>
            <w:cnfStyle w:val="001000000000"/>
            <w:tcW w:w="6444" w:type="dxa"/>
            <w:noWrap/>
            <w:hideMark/>
          </w:tcPr>
          <w:p w:rsidR="00510086" w:rsidRPr="00510086" w:rsidRDefault="00510086" w:rsidP="00510086">
            <w:pPr>
              <w:jc w:val="both"/>
              <w:rPr>
                <w:rFonts w:ascii="Arial Narrow" w:eastAsia="Times New Roman" w:hAnsi="Arial Narrow" w:cs="Times New Roman"/>
                <w:b w:val="0"/>
                <w:color w:val="000000"/>
                <w:lang w:val="en-US"/>
              </w:rPr>
            </w:pPr>
            <w:proofErr w:type="spellStart"/>
            <w:r w:rsidRPr="00510086">
              <w:rPr>
                <w:rFonts w:ascii="Arial Narrow" w:eastAsia="Times New Roman" w:hAnsi="Arial Narrow" w:cs="Times New Roman"/>
                <w:b w:val="0"/>
                <w:color w:val="000000"/>
                <w:lang w:val="en-US"/>
              </w:rPr>
              <w:t>Retenciones</w:t>
            </w:r>
            <w:proofErr w:type="spellEnd"/>
            <w:r w:rsidRPr="00510086">
              <w:rPr>
                <w:rFonts w:ascii="Arial Narrow" w:eastAsia="Times New Roman" w:hAnsi="Arial Narrow" w:cs="Times New Roman"/>
                <w:b w:val="0"/>
                <w:color w:val="000000"/>
                <w:lang w:val="en-US"/>
              </w:rPr>
              <w:t xml:space="preserve"> </w:t>
            </w:r>
            <w:proofErr w:type="spellStart"/>
            <w:r w:rsidRPr="00510086">
              <w:rPr>
                <w:rFonts w:ascii="Arial Narrow" w:eastAsia="Times New Roman" w:hAnsi="Arial Narrow" w:cs="Times New Roman"/>
                <w:b w:val="0"/>
                <w:color w:val="000000"/>
                <w:lang w:val="en-US"/>
              </w:rPr>
              <w:t>sobre</w:t>
            </w:r>
            <w:proofErr w:type="spellEnd"/>
            <w:r w:rsidRPr="00510086">
              <w:rPr>
                <w:rFonts w:ascii="Arial Narrow" w:eastAsia="Times New Roman" w:hAnsi="Arial Narrow" w:cs="Times New Roman"/>
                <w:b w:val="0"/>
                <w:color w:val="000000"/>
                <w:lang w:val="en-US"/>
              </w:rPr>
              <w:t xml:space="preserve"> </w:t>
            </w:r>
            <w:proofErr w:type="spellStart"/>
            <w:r w:rsidRPr="00510086">
              <w:rPr>
                <w:rFonts w:ascii="Arial Narrow" w:eastAsia="Times New Roman" w:hAnsi="Arial Narrow" w:cs="Times New Roman"/>
                <w:b w:val="0"/>
                <w:color w:val="000000"/>
                <w:lang w:val="en-US"/>
              </w:rPr>
              <w:t>premios</w:t>
            </w:r>
            <w:proofErr w:type="spellEnd"/>
          </w:p>
        </w:tc>
      </w:tr>
      <w:tr w:rsidR="00510086" w:rsidRPr="00510086" w:rsidTr="00510086">
        <w:trPr>
          <w:trHeight w:val="360"/>
        </w:trPr>
        <w:tc>
          <w:tcPr>
            <w:cnfStyle w:val="001000000000"/>
            <w:tcW w:w="6444" w:type="dxa"/>
            <w:noWrap/>
            <w:hideMark/>
          </w:tcPr>
          <w:p w:rsidR="00510086" w:rsidRPr="00510086" w:rsidRDefault="00510086" w:rsidP="00510086">
            <w:pPr>
              <w:jc w:val="both"/>
              <w:rPr>
                <w:rFonts w:ascii="Arial Narrow" w:eastAsia="Times New Roman" w:hAnsi="Arial Narrow" w:cs="Times New Roman"/>
                <w:b w:val="0"/>
                <w:color w:val="000000"/>
              </w:rPr>
            </w:pPr>
            <w:r w:rsidRPr="00510086">
              <w:rPr>
                <w:rFonts w:ascii="Arial Narrow" w:eastAsia="Times New Roman" w:hAnsi="Arial Narrow" w:cs="Times New Roman"/>
                <w:b w:val="0"/>
                <w:color w:val="000000"/>
              </w:rPr>
              <w:t>Impuesto a la Transferencia de Bienes Muebles y Prestación de Servicios</w:t>
            </w:r>
          </w:p>
        </w:tc>
      </w:tr>
      <w:tr w:rsidR="00510086" w:rsidRPr="00510086" w:rsidTr="00510086">
        <w:trPr>
          <w:cnfStyle w:val="000000100000"/>
          <w:trHeight w:val="360"/>
        </w:trPr>
        <w:tc>
          <w:tcPr>
            <w:cnfStyle w:val="001000000000"/>
            <w:tcW w:w="6444" w:type="dxa"/>
            <w:hideMark/>
          </w:tcPr>
          <w:p w:rsidR="00510086" w:rsidRPr="00510086" w:rsidRDefault="00510086" w:rsidP="00510086">
            <w:pPr>
              <w:rPr>
                <w:rFonts w:ascii="Arial Narrow" w:eastAsia="Times New Roman" w:hAnsi="Arial Narrow" w:cs="Times New Roman"/>
                <w:b w:val="0"/>
                <w:color w:val="000000"/>
                <w:lang w:val="en-US"/>
              </w:rPr>
            </w:pPr>
            <w:proofErr w:type="spellStart"/>
            <w:r w:rsidRPr="00510086">
              <w:rPr>
                <w:rFonts w:ascii="Arial Narrow" w:eastAsia="Times New Roman" w:hAnsi="Arial Narrow" w:cs="Times New Roman"/>
                <w:b w:val="0"/>
                <w:color w:val="000000"/>
                <w:lang w:val="en-US"/>
              </w:rPr>
              <w:t>Percepción</w:t>
            </w:r>
            <w:proofErr w:type="spellEnd"/>
            <w:r w:rsidRPr="00510086">
              <w:rPr>
                <w:rFonts w:ascii="Arial Narrow" w:eastAsia="Times New Roman" w:hAnsi="Arial Narrow" w:cs="Times New Roman"/>
                <w:b w:val="0"/>
                <w:color w:val="000000"/>
                <w:lang w:val="en-US"/>
              </w:rPr>
              <w:t xml:space="preserve"> de IVA</w:t>
            </w:r>
          </w:p>
        </w:tc>
      </w:tr>
      <w:tr w:rsidR="00510086" w:rsidRPr="00510086" w:rsidTr="00510086">
        <w:trPr>
          <w:trHeight w:val="360"/>
        </w:trPr>
        <w:tc>
          <w:tcPr>
            <w:cnfStyle w:val="001000000000"/>
            <w:tcW w:w="6444" w:type="dxa"/>
            <w:hideMark/>
          </w:tcPr>
          <w:p w:rsidR="00510086" w:rsidRPr="00510086" w:rsidRDefault="00510086" w:rsidP="00510086">
            <w:pPr>
              <w:rPr>
                <w:rFonts w:ascii="Arial Narrow" w:eastAsia="Times New Roman" w:hAnsi="Arial Narrow" w:cs="Times New Roman"/>
                <w:b w:val="0"/>
                <w:color w:val="000000"/>
                <w:lang w:val="en-US"/>
              </w:rPr>
            </w:pPr>
            <w:proofErr w:type="spellStart"/>
            <w:r w:rsidRPr="00510086">
              <w:rPr>
                <w:rFonts w:ascii="Arial Narrow" w:eastAsia="Times New Roman" w:hAnsi="Arial Narrow" w:cs="Times New Roman"/>
                <w:b w:val="0"/>
                <w:color w:val="000000"/>
                <w:lang w:val="en-US"/>
              </w:rPr>
              <w:t>Retención</w:t>
            </w:r>
            <w:proofErr w:type="spellEnd"/>
            <w:r w:rsidRPr="00510086">
              <w:rPr>
                <w:rFonts w:ascii="Arial Narrow" w:eastAsia="Times New Roman" w:hAnsi="Arial Narrow" w:cs="Times New Roman"/>
                <w:b w:val="0"/>
                <w:color w:val="000000"/>
                <w:lang w:val="en-US"/>
              </w:rPr>
              <w:t xml:space="preserve"> de IVA</w:t>
            </w:r>
          </w:p>
        </w:tc>
      </w:tr>
    </w:tbl>
    <w:p w:rsidR="006C65AD" w:rsidRDefault="006C65AD" w:rsidP="006C65AD">
      <w:pPr>
        <w:jc w:val="both"/>
      </w:pPr>
    </w:p>
    <w:sectPr w:rsidR="006C65AD" w:rsidSect="004824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6C65AD"/>
    <w:rsid w:val="00003F7F"/>
    <w:rsid w:val="0005538F"/>
    <w:rsid w:val="00482497"/>
    <w:rsid w:val="00510086"/>
    <w:rsid w:val="006C65AD"/>
    <w:rsid w:val="00931ED2"/>
    <w:rsid w:val="00C17D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5AD"/>
    <w:rPr>
      <w:lang w:val="es-S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Shading-Accent1">
    <w:name w:val="Light Shading Accent 1"/>
    <w:basedOn w:val="TableNormal"/>
    <w:uiPriority w:val="60"/>
    <w:rsid w:val="006C65AD"/>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divs>
    <w:div w:id="986594215">
      <w:bodyDiv w:val="1"/>
      <w:marLeft w:val="0"/>
      <w:marRight w:val="0"/>
      <w:marTop w:val="0"/>
      <w:marBottom w:val="0"/>
      <w:divBdr>
        <w:top w:val="none" w:sz="0" w:space="0" w:color="auto"/>
        <w:left w:val="none" w:sz="0" w:space="0" w:color="auto"/>
        <w:bottom w:val="none" w:sz="0" w:space="0" w:color="auto"/>
        <w:right w:val="none" w:sz="0" w:space="0" w:color="auto"/>
      </w:divBdr>
    </w:div>
    <w:div w:id="1941596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202</Words>
  <Characters>1157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nc6220</dc:creator>
  <cp:keywords/>
  <dc:description/>
  <cp:lastModifiedBy>nc6220</cp:lastModifiedBy>
  <cp:revision>1</cp:revision>
  <dcterms:created xsi:type="dcterms:W3CDTF">2013-10-12T06:04:00Z</dcterms:created>
  <dcterms:modified xsi:type="dcterms:W3CDTF">2013-10-12T06:19:00Z</dcterms:modified>
</cp:coreProperties>
</file>